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FB90" w14:textId="1DD4AE9F" w:rsidR="005E126E" w:rsidRPr="005B28F7" w:rsidRDefault="00743DBE" w:rsidP="00743DBE">
      <w:pPr>
        <w:tabs>
          <w:tab w:val="right" w:pos="58"/>
          <w:tab w:val="left" w:pos="98"/>
          <w:tab w:val="right" w:pos="284"/>
        </w:tabs>
        <w:ind w:left="-54"/>
        <w:jc w:val="both"/>
        <w:rPr>
          <w:b/>
          <w:color w:val="353C7C"/>
          <w:sz w:val="22"/>
          <w:szCs w:val="22"/>
        </w:rPr>
      </w:pPr>
      <w:r w:rsidRPr="005B28F7">
        <w:rPr>
          <w:b/>
          <w:color w:val="002060"/>
          <w:sz w:val="22"/>
          <w:szCs w:val="22"/>
        </w:rPr>
        <w:t xml:space="preserve">w sprawie oceny programowej na kierunku </w:t>
      </w:r>
      <w:r w:rsidR="00DA0804">
        <w:rPr>
          <w:b/>
          <w:color w:val="002060"/>
          <w:sz w:val="22"/>
          <w:szCs w:val="22"/>
        </w:rPr>
        <w:t>g</w:t>
      </w:r>
      <w:r w:rsidR="006D6287">
        <w:rPr>
          <w:b/>
          <w:color w:val="002060"/>
          <w:sz w:val="22"/>
          <w:szCs w:val="22"/>
        </w:rPr>
        <w:t xml:space="preserve">ospodarka wodna i ochrona zasobów wód </w:t>
      </w:r>
      <w:r w:rsidR="004F3C8C">
        <w:rPr>
          <w:b/>
          <w:color w:val="002060"/>
          <w:sz w:val="22"/>
          <w:szCs w:val="22"/>
        </w:rPr>
        <w:t>na</w:t>
      </w:r>
      <w:r w:rsidR="006D6287">
        <w:rPr>
          <w:b/>
          <w:color w:val="002060"/>
          <w:sz w:val="22"/>
          <w:szCs w:val="22"/>
        </w:rPr>
        <w:t> </w:t>
      </w:r>
      <w:r w:rsidR="00DA0804">
        <w:rPr>
          <w:b/>
          <w:color w:val="002060"/>
          <w:sz w:val="22"/>
          <w:szCs w:val="22"/>
        </w:rPr>
        <w:t xml:space="preserve">Uniwersytecie </w:t>
      </w:r>
      <w:r w:rsidR="006D6287">
        <w:rPr>
          <w:b/>
          <w:color w:val="002060"/>
          <w:sz w:val="22"/>
          <w:szCs w:val="22"/>
        </w:rPr>
        <w:t>Gdańskim</w:t>
      </w:r>
      <w:r w:rsidR="005B28F7" w:rsidRPr="005B28F7">
        <w:rPr>
          <w:b/>
          <w:color w:val="002060"/>
          <w:sz w:val="22"/>
          <w:szCs w:val="22"/>
        </w:rPr>
        <w:t xml:space="preserve"> </w:t>
      </w:r>
      <w:r w:rsidRPr="005B28F7">
        <w:rPr>
          <w:b/>
          <w:color w:val="002060"/>
          <w:sz w:val="22"/>
          <w:szCs w:val="22"/>
        </w:rPr>
        <w:t xml:space="preserve">na poziomie studiów </w:t>
      </w:r>
      <w:r w:rsidR="00B6433A" w:rsidRPr="005B28F7">
        <w:rPr>
          <w:b/>
          <w:color w:val="002060"/>
          <w:sz w:val="22"/>
          <w:szCs w:val="22"/>
        </w:rPr>
        <w:t>pierwszego</w:t>
      </w:r>
      <w:r w:rsidR="00F164F9" w:rsidRPr="005B28F7">
        <w:rPr>
          <w:b/>
          <w:color w:val="002060"/>
          <w:sz w:val="22"/>
          <w:szCs w:val="22"/>
        </w:rPr>
        <w:t xml:space="preserve"> </w:t>
      </w:r>
      <w:r w:rsidRPr="005B28F7">
        <w:rPr>
          <w:b/>
          <w:color w:val="002060"/>
          <w:sz w:val="22"/>
          <w:szCs w:val="22"/>
        </w:rPr>
        <w:t xml:space="preserve">stopnia o profilu </w:t>
      </w:r>
      <w:r w:rsidR="006D6287">
        <w:rPr>
          <w:b/>
          <w:color w:val="002060"/>
          <w:sz w:val="22"/>
          <w:szCs w:val="22"/>
        </w:rPr>
        <w:t>praktycznym</w:t>
      </w:r>
    </w:p>
    <w:p w14:paraId="3A2BA9F7" w14:textId="77777777" w:rsidR="00743DBE" w:rsidRPr="00496F31" w:rsidRDefault="00743DBE" w:rsidP="00743DBE">
      <w:pPr>
        <w:pStyle w:val="PKA-tekstcigy"/>
        <w:rPr>
          <w:color w:val="353C7C"/>
        </w:rPr>
      </w:pPr>
    </w:p>
    <w:p w14:paraId="38243CE0" w14:textId="77777777" w:rsidR="00743DBE" w:rsidRPr="00D31442" w:rsidRDefault="00743DBE" w:rsidP="00C96305">
      <w:pPr>
        <w:tabs>
          <w:tab w:val="left" w:pos="1418"/>
          <w:tab w:val="left" w:pos="1985"/>
          <w:tab w:val="left" w:pos="3969"/>
          <w:tab w:val="left" w:pos="4111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1</w:t>
      </w:r>
    </w:p>
    <w:p w14:paraId="6140368A" w14:textId="6F7B1155" w:rsidR="00743DBE" w:rsidRPr="004F3C8C" w:rsidRDefault="00AD28ED" w:rsidP="004F3C8C">
      <w:pPr>
        <w:jc w:val="both"/>
        <w:rPr>
          <w:sz w:val="22"/>
          <w:szCs w:val="22"/>
        </w:rPr>
      </w:pPr>
      <w:bookmarkStart w:id="0" w:name="_Hlk18401810"/>
      <w:r w:rsidRPr="005B28F7">
        <w:rPr>
          <w:rFonts w:ascii="Calibri" w:eastAsia="Times New Roman" w:hAnsi="Calibri" w:cs="Arial"/>
          <w:sz w:val="22"/>
          <w:szCs w:val="20"/>
          <w:lang w:eastAsia="pl-PL"/>
        </w:rPr>
        <w:t>Na podstawie art. 245 ust. 1 pkt 2 w zw. z art. 258 ust. 1 pkt 3 ustawy z dnia 20 lipca 2018 r. – Prawo o szkolnictwie wyższym i nauce (</w:t>
      </w:r>
      <w:r w:rsidR="00101AA8" w:rsidRPr="009B3F54">
        <w:rPr>
          <w:rFonts w:eastAsia="Times New Roman"/>
          <w:color w:val="000000"/>
          <w:sz w:val="22"/>
          <w:szCs w:val="22"/>
        </w:rPr>
        <w:t>t.j. Dz. U. z 2021 r. poz. 478</w:t>
      </w:r>
      <w:r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) 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>Prezydium Polskiej Komisji Akredytacyjnej, po zapoznaniu się z opinią</w:t>
      </w:r>
      <w:r w:rsidR="00023516" w:rsidRPr="00023516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023516"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zespołu nauk </w:t>
      </w:r>
      <w:r w:rsidR="00023516">
        <w:rPr>
          <w:rFonts w:ascii="Calibri" w:eastAsia="Times New Roman" w:hAnsi="Calibri" w:cs="Arial"/>
          <w:sz w:val="22"/>
          <w:szCs w:val="20"/>
          <w:lang w:eastAsia="pl-PL"/>
        </w:rPr>
        <w:t>ścisłych i przyrodniczych</w:t>
      </w:r>
      <w:r w:rsidR="00023516" w:rsidRPr="005B28F7">
        <w:rPr>
          <w:rFonts w:ascii="Calibri" w:eastAsia="Times New Roman" w:hAnsi="Calibri" w:cs="Arial"/>
          <w:sz w:val="22"/>
          <w:szCs w:val="20"/>
          <w:lang w:eastAsia="pl-PL"/>
        </w:rPr>
        <w:t>,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 stanowiącą załącznik do</w:t>
      </w:r>
      <w:r w:rsidR="000D06F1" w:rsidRPr="005B28F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>niniejszej uchwały, raportem zespołu oceniającego oraz stanowiskiem Uczelni, w</w:t>
      </w:r>
      <w:r w:rsidRPr="005B28F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sprawie oceny programowej, na kierunku 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>gospodarka wodna i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 xml:space="preserve">ochrona zasobów wód </w:t>
      </w:r>
      <w:r w:rsidR="00F74139" w:rsidRPr="006D6287">
        <w:rPr>
          <w:rFonts w:ascii="Calibri" w:eastAsia="Times New Roman" w:hAnsi="Calibri" w:cs="Arial"/>
          <w:sz w:val="22"/>
          <w:szCs w:val="20"/>
          <w:lang w:eastAsia="pl-PL"/>
        </w:rPr>
        <w:t xml:space="preserve">prowadzonym </w:t>
      </w:r>
      <w:r w:rsidR="004F3C8C">
        <w:rPr>
          <w:rFonts w:ascii="Calibri" w:eastAsia="Times New Roman" w:hAnsi="Calibri" w:cs="Arial"/>
          <w:sz w:val="22"/>
          <w:szCs w:val="20"/>
          <w:lang w:eastAsia="pl-PL"/>
        </w:rPr>
        <w:t xml:space="preserve">na 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 xml:space="preserve">Uniwersytecie Gdańskim 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>na poziomie studiów</w:t>
      </w:r>
      <w:r w:rsidR="00B6433A"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 pierwszego</w:t>
      </w:r>
      <w:r w:rsidR="00221524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>stopnia o</w:t>
      </w:r>
      <w:r w:rsidR="00BF3AFD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 xml:space="preserve">profilu 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praktycznym</w:t>
      </w:r>
      <w:r w:rsidR="00743DBE" w:rsidRPr="005B28F7">
        <w:rPr>
          <w:rFonts w:ascii="Calibri" w:eastAsia="Times New Roman" w:hAnsi="Calibri" w:cs="Arial"/>
          <w:sz w:val="22"/>
          <w:szCs w:val="20"/>
          <w:lang w:eastAsia="pl-PL"/>
        </w:rPr>
        <w:t>, wydaje ocenę:</w:t>
      </w:r>
    </w:p>
    <w:bookmarkEnd w:id="0"/>
    <w:p w14:paraId="77792BD0" w14:textId="77777777" w:rsidR="00743DBE" w:rsidRPr="000374BF" w:rsidRDefault="00743DBE" w:rsidP="00AC3455">
      <w:pPr>
        <w:tabs>
          <w:tab w:val="left" w:pos="1418"/>
          <w:tab w:val="left" w:pos="1985"/>
        </w:tabs>
        <w:adjustRightInd w:val="0"/>
        <w:spacing w:before="240"/>
        <w:jc w:val="center"/>
        <w:rPr>
          <w:b/>
          <w:color w:val="353C7C"/>
          <w:sz w:val="22"/>
          <w:szCs w:val="22"/>
        </w:rPr>
      </w:pPr>
      <w:r w:rsidRPr="000374BF">
        <w:rPr>
          <w:b/>
          <w:color w:val="353C7C"/>
          <w:sz w:val="22"/>
          <w:szCs w:val="22"/>
        </w:rPr>
        <w:t>pozytywną</w:t>
      </w:r>
    </w:p>
    <w:p w14:paraId="7E92C90A" w14:textId="77777777" w:rsidR="00743DBE" w:rsidRPr="00D31442" w:rsidRDefault="00743DBE" w:rsidP="00AC3455">
      <w:pPr>
        <w:tabs>
          <w:tab w:val="left" w:pos="1418"/>
          <w:tab w:val="left" w:pos="1985"/>
        </w:tabs>
        <w:adjustRightInd w:val="0"/>
        <w:spacing w:before="24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2</w:t>
      </w:r>
    </w:p>
    <w:p w14:paraId="603775D9" w14:textId="631F45ED" w:rsidR="00743DBE" w:rsidRPr="00D31442" w:rsidRDefault="00743DBE" w:rsidP="00AC3455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Prezydium Polskiej Komisji Akredytacyjnej stwierdza, że proces kształcenia realizowany </w:t>
      </w:r>
      <w:r w:rsidR="004F3C8C">
        <w:rPr>
          <w:rFonts w:ascii="Calibri" w:eastAsia="Times New Roman" w:hAnsi="Calibri" w:cs="Arial"/>
          <w:sz w:val="22"/>
          <w:szCs w:val="20"/>
          <w:lang w:eastAsia="pl-PL"/>
        </w:rPr>
        <w:t>na</w:t>
      </w:r>
      <w:r w:rsidR="00F74139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DA0804">
        <w:rPr>
          <w:sz w:val="22"/>
          <w:szCs w:val="22"/>
        </w:rPr>
        <w:t xml:space="preserve">Uniwersytecie </w:t>
      </w:r>
      <w:r w:rsidR="006D6287">
        <w:rPr>
          <w:sz w:val="22"/>
          <w:szCs w:val="22"/>
        </w:rPr>
        <w:t>Gdańskim</w:t>
      </w:r>
      <w:r w:rsidR="00DA0804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umożliwia studentom kierunku 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>gospodarka wodna i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 xml:space="preserve">ochrona zasobów wód 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osiągnięcie założonych efektów uczenia się dla studiów </w:t>
      </w:r>
      <w:r w:rsidR="00B6433A" w:rsidRPr="00D31442">
        <w:rPr>
          <w:rFonts w:ascii="Calibri" w:eastAsia="Times New Roman" w:hAnsi="Calibri" w:cs="Arial"/>
          <w:sz w:val="22"/>
          <w:szCs w:val="20"/>
          <w:lang w:eastAsia="pl-PL"/>
        </w:rPr>
        <w:t>pierwszego</w:t>
      </w:r>
      <w:r w:rsidR="009F3C3D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stopnia o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profilu 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praktycznym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4AB0F15B" w14:textId="3C647EE9" w:rsidR="00743DBE" w:rsidRPr="00D31442" w:rsidRDefault="00743DBE" w:rsidP="00AC3455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Wszystkie kryteria określone w rozporządzeniu Ministra Nauki i Szkolnictwa Wyższego z dnia 12 września 2018 r. w sprawie kryteriów oceny programowej (Dz.</w:t>
      </w:r>
      <w:r w:rsidR="00E23EC7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U. z 2018 r. poz. 1787)</w:t>
      </w:r>
      <w:bookmarkStart w:id="1" w:name="_Hlk18655441"/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, uszczegółowione w załączniku nr 2 </w:t>
      </w:r>
      <w:bookmarkStart w:id="2" w:name="_Hlk18655247"/>
      <w:r w:rsidR="00503AC0">
        <w:rPr>
          <w:rFonts w:ascii="Calibri" w:eastAsia="Times New Roman" w:hAnsi="Calibri" w:cs="Arial"/>
          <w:sz w:val="22"/>
          <w:szCs w:val="20"/>
          <w:lang w:eastAsia="pl-PL"/>
        </w:rPr>
        <w:t xml:space="preserve">do </w:t>
      </w:r>
      <w:r w:rsidRPr="00D31442">
        <w:rPr>
          <w:sz w:val="22"/>
          <w:szCs w:val="22"/>
        </w:rPr>
        <w:t xml:space="preserve">Statutu Polskiej Komisji Akredytacyjnej, stanowiącym załącznik do uchwały </w:t>
      </w:r>
      <w:r w:rsidR="00503AC0">
        <w:rPr>
          <w:sz w:val="22"/>
          <w:szCs w:val="22"/>
        </w:rPr>
        <w:t>n</w:t>
      </w:r>
      <w:r w:rsidRPr="00D31442">
        <w:rPr>
          <w:sz w:val="22"/>
          <w:szCs w:val="22"/>
        </w:rPr>
        <w:t>r 4/2018 Polskiej Komisji Akredytacyjnej z dnia 13</w:t>
      </w:r>
      <w:r w:rsidR="00E23EC7">
        <w:rPr>
          <w:sz w:val="22"/>
          <w:szCs w:val="22"/>
        </w:rPr>
        <w:t xml:space="preserve"> </w:t>
      </w:r>
      <w:r w:rsidRPr="00D31442">
        <w:rPr>
          <w:sz w:val="22"/>
          <w:szCs w:val="22"/>
        </w:rPr>
        <w:t>grudnia 2018 r.</w:t>
      </w:r>
      <w:r w:rsidR="000D23D2">
        <w:rPr>
          <w:sz w:val="22"/>
          <w:szCs w:val="22"/>
        </w:rPr>
        <w:t xml:space="preserve"> ze</w:t>
      </w:r>
      <w:r w:rsidR="00793DAE">
        <w:rPr>
          <w:sz w:val="22"/>
          <w:szCs w:val="22"/>
        </w:rPr>
        <w:t> </w:t>
      </w:r>
      <w:r w:rsidR="000D23D2">
        <w:rPr>
          <w:sz w:val="22"/>
          <w:szCs w:val="22"/>
        </w:rPr>
        <w:t>zm.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, </w:t>
      </w:r>
      <w:bookmarkEnd w:id="1"/>
      <w:bookmarkEnd w:id="2"/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zostały spełnione</w:t>
      </w:r>
      <w:bookmarkStart w:id="3" w:name="_Hlk18656219"/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, co uzasadnia wydanie oceny pozytywnej.</w:t>
      </w:r>
    </w:p>
    <w:bookmarkEnd w:id="3"/>
    <w:p w14:paraId="0127FCA4" w14:textId="77777777" w:rsidR="00743DBE" w:rsidRPr="00D31442" w:rsidRDefault="00743DBE" w:rsidP="00AC3455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3</w:t>
      </w:r>
    </w:p>
    <w:p w14:paraId="7613C51D" w14:textId="4852E207" w:rsidR="00743DBE" w:rsidRPr="00D31442" w:rsidRDefault="00743DBE" w:rsidP="00AC3455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Następna ocena programowa na kierunku</w:t>
      </w:r>
      <w:r w:rsidR="00BE7E05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>gospodarka wodna i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6D6287" w:rsidRPr="006D6287">
        <w:rPr>
          <w:rFonts w:ascii="Calibri" w:eastAsia="Times New Roman" w:hAnsi="Calibri" w:cs="Arial"/>
          <w:sz w:val="22"/>
          <w:szCs w:val="20"/>
          <w:lang w:eastAsia="pl-PL"/>
        </w:rPr>
        <w:t xml:space="preserve">ochrona zasobów wód 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w</w:t>
      </w:r>
      <w:r w:rsidR="006D6287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B977D7">
        <w:rPr>
          <w:rFonts w:ascii="Calibri" w:eastAsia="Times New Roman" w:hAnsi="Calibri" w:cs="Arial"/>
          <w:sz w:val="22"/>
          <w:szCs w:val="20"/>
          <w:lang w:eastAsia="pl-PL"/>
        </w:rPr>
        <w:t>u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czelni wymienionej w</w:t>
      </w:r>
      <w:r w:rsidR="00793DAE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§ 1 powinna nastąpić w roku akademickim </w:t>
      </w:r>
      <w:r w:rsidR="00B6433A" w:rsidRPr="00D31442">
        <w:rPr>
          <w:rFonts w:ascii="Calibri" w:eastAsia="Times New Roman" w:hAnsi="Calibri" w:cs="Arial"/>
          <w:sz w:val="22"/>
          <w:szCs w:val="20"/>
          <w:lang w:eastAsia="pl-PL"/>
        </w:rPr>
        <w:t>202</w:t>
      </w:r>
      <w:r w:rsidR="00BF3AFD">
        <w:rPr>
          <w:rFonts w:ascii="Calibri" w:eastAsia="Times New Roman" w:hAnsi="Calibri" w:cs="Arial"/>
          <w:sz w:val="22"/>
          <w:szCs w:val="20"/>
          <w:lang w:eastAsia="pl-PL"/>
        </w:rPr>
        <w:t>6</w:t>
      </w:r>
      <w:r w:rsidR="00796634">
        <w:rPr>
          <w:rFonts w:ascii="Calibri" w:eastAsia="Times New Roman" w:hAnsi="Calibri" w:cs="Arial"/>
          <w:sz w:val="22"/>
          <w:szCs w:val="20"/>
          <w:lang w:eastAsia="pl-PL"/>
        </w:rPr>
        <w:t>/202</w:t>
      </w:r>
      <w:r w:rsidR="00BF3AFD">
        <w:rPr>
          <w:rFonts w:ascii="Calibri" w:eastAsia="Times New Roman" w:hAnsi="Calibri" w:cs="Arial"/>
          <w:sz w:val="22"/>
          <w:szCs w:val="20"/>
          <w:lang w:eastAsia="pl-PL"/>
        </w:rPr>
        <w:t>7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6F7DE9D0" w14:textId="77777777" w:rsidR="00743DBE" w:rsidRPr="00D31442" w:rsidRDefault="00743DBE" w:rsidP="00AC3455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4</w:t>
      </w:r>
    </w:p>
    <w:p w14:paraId="4C7FB4BE" w14:textId="77777777" w:rsidR="00743DBE" w:rsidRPr="00D31442" w:rsidRDefault="00743DBE" w:rsidP="00AC3455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eastAsia="Times New Roman" w:cstheme="minorHAnsi"/>
          <w:sz w:val="22"/>
          <w:szCs w:val="20"/>
          <w:lang w:eastAsia="pl-PL"/>
        </w:rPr>
      </w:pPr>
      <w:r w:rsidRPr="00D31442">
        <w:rPr>
          <w:rFonts w:eastAsia="Times New Roman" w:cstheme="minorHAnsi"/>
          <w:sz w:val="22"/>
          <w:szCs w:val="20"/>
          <w:lang w:eastAsia="pl-PL"/>
        </w:rPr>
        <w:t>Uczelnia niezadowolona z uchwały może złożyć wniosek o ponowne rozpatrzenie sprawy.</w:t>
      </w:r>
    </w:p>
    <w:p w14:paraId="5A45B151" w14:textId="77777777" w:rsidR="00743DBE" w:rsidRPr="00D31442" w:rsidRDefault="00743DBE" w:rsidP="00AC3455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eastAsia="Times New Roman" w:cstheme="minorHAnsi"/>
          <w:sz w:val="22"/>
          <w:szCs w:val="20"/>
          <w:lang w:eastAsia="pl-PL"/>
        </w:rPr>
      </w:pPr>
      <w:r w:rsidRPr="00D31442">
        <w:rPr>
          <w:rFonts w:eastAsia="Times New Roman" w:cstheme="minorHAnsi"/>
          <w:sz w:val="22"/>
          <w:szCs w:val="20"/>
          <w:lang w:eastAsia="pl-PL"/>
        </w:rPr>
        <w:t>Wniosek, o którym mowa w ust. 1, należy kierować do Polskiej Komisji Akredytacyjnej w</w:t>
      </w:r>
      <w:r w:rsidR="00163043" w:rsidRPr="00D31442">
        <w:rPr>
          <w:rFonts w:eastAsia="Times New Roman" w:cstheme="minorHAnsi"/>
          <w:sz w:val="22"/>
          <w:szCs w:val="20"/>
          <w:lang w:eastAsia="pl-PL"/>
        </w:rPr>
        <w:t> </w:t>
      </w:r>
      <w:r w:rsidRPr="00D31442">
        <w:rPr>
          <w:rFonts w:eastAsia="Times New Roman" w:cstheme="minorHAnsi"/>
          <w:sz w:val="22"/>
          <w:szCs w:val="20"/>
          <w:lang w:eastAsia="pl-PL"/>
        </w:rPr>
        <w:t>terminie 14 dni od dnia doręczenia uchwały.</w:t>
      </w:r>
    </w:p>
    <w:p w14:paraId="3EB05787" w14:textId="184B7F28" w:rsidR="00743DBE" w:rsidRPr="00D31442" w:rsidRDefault="00743DBE" w:rsidP="00AC3455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eastAsia="Times New Roman" w:cstheme="minorHAnsi"/>
          <w:sz w:val="22"/>
          <w:szCs w:val="20"/>
          <w:lang w:eastAsia="pl-PL"/>
        </w:rPr>
        <w:t xml:space="preserve">Na składającym wniosek o ponowne rozpatrzenie sprawy na podstawie art. 245 ust. 4 ustawy Prawo o szkolnictwie wyższym i nauce ciąży obowiązek zawiadomienia Ministra </w:t>
      </w:r>
      <w:r w:rsidR="00503AC0">
        <w:rPr>
          <w:rFonts w:eastAsia="Times New Roman" w:cstheme="minorHAnsi"/>
          <w:sz w:val="22"/>
          <w:szCs w:val="20"/>
          <w:lang w:eastAsia="pl-PL"/>
        </w:rPr>
        <w:t>Edukacji i Nauki</w:t>
      </w:r>
      <w:r w:rsidRPr="00D31442">
        <w:rPr>
          <w:rFonts w:eastAsia="Times New Roman" w:cstheme="minorHAnsi"/>
          <w:sz w:val="22"/>
          <w:szCs w:val="20"/>
          <w:lang w:eastAsia="pl-PL"/>
        </w:rPr>
        <w:t xml:space="preserve"> o jego złożeniu</w:t>
      </w: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0E1AAD7D" w14:textId="77777777" w:rsidR="00743DBE" w:rsidRPr="00D31442" w:rsidRDefault="00743DBE" w:rsidP="00AC3455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5</w:t>
      </w:r>
    </w:p>
    <w:p w14:paraId="307E46EA" w14:textId="77777777" w:rsidR="00743DBE" w:rsidRPr="00D31442" w:rsidRDefault="00743DBE" w:rsidP="00AC3455">
      <w:pPr>
        <w:tabs>
          <w:tab w:val="left" w:pos="1418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Uchwałę Prezydium Polskiej Komisji Akredytacyjnej otrzymują:</w:t>
      </w:r>
    </w:p>
    <w:p w14:paraId="777342D1" w14:textId="4B6902F7" w:rsidR="00743DBE" w:rsidRPr="00D31442" w:rsidRDefault="00743DBE" w:rsidP="00AC3455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="Times New Roman" w:cstheme="minorHAnsi"/>
          <w:sz w:val="22"/>
          <w:szCs w:val="20"/>
          <w:lang w:eastAsia="pl-PL"/>
        </w:rPr>
      </w:pPr>
      <w:r w:rsidRPr="00D31442">
        <w:rPr>
          <w:rFonts w:eastAsia="Times New Roman" w:cstheme="minorHAnsi"/>
          <w:sz w:val="22"/>
          <w:szCs w:val="20"/>
          <w:lang w:eastAsia="pl-PL"/>
        </w:rPr>
        <w:t xml:space="preserve">Minister </w:t>
      </w:r>
      <w:r w:rsidR="00BF3AFD">
        <w:rPr>
          <w:rFonts w:eastAsia="Times New Roman" w:cstheme="minorHAnsi"/>
          <w:sz w:val="22"/>
          <w:szCs w:val="20"/>
          <w:lang w:eastAsia="pl-PL"/>
        </w:rPr>
        <w:t xml:space="preserve">Edukacji i </w:t>
      </w:r>
      <w:r w:rsidRPr="00D31442">
        <w:rPr>
          <w:rFonts w:eastAsia="Times New Roman" w:cstheme="minorHAnsi"/>
          <w:sz w:val="22"/>
          <w:szCs w:val="20"/>
          <w:lang w:eastAsia="pl-PL"/>
        </w:rPr>
        <w:t>Nauki,</w:t>
      </w:r>
    </w:p>
    <w:p w14:paraId="1BD73487" w14:textId="52D82C05" w:rsidR="00743DBE" w:rsidRPr="00D31442" w:rsidRDefault="00743DBE" w:rsidP="00AC3455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eastAsia="Times New Roman" w:cstheme="minorHAnsi"/>
          <w:sz w:val="22"/>
          <w:szCs w:val="20"/>
          <w:lang w:eastAsia="pl-PL"/>
        </w:rPr>
        <w:t>Rektor</w:t>
      </w:r>
      <w:r w:rsidR="00F74139" w:rsidRPr="00F74139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DA0804">
        <w:rPr>
          <w:sz w:val="22"/>
          <w:szCs w:val="22"/>
        </w:rPr>
        <w:t xml:space="preserve">Uniwersytetu </w:t>
      </w:r>
      <w:r w:rsidR="006D6287">
        <w:rPr>
          <w:sz w:val="22"/>
          <w:szCs w:val="22"/>
        </w:rPr>
        <w:t>Gdańskiego</w:t>
      </w:r>
      <w:r w:rsidR="00B02047">
        <w:rPr>
          <w:rFonts w:eastAsia="Times New Roman" w:cstheme="minorHAnsi"/>
          <w:sz w:val="22"/>
          <w:szCs w:val="20"/>
          <w:lang w:eastAsia="pl-PL"/>
        </w:rPr>
        <w:t>.</w:t>
      </w:r>
    </w:p>
    <w:p w14:paraId="2A06E866" w14:textId="77777777" w:rsidR="00743DBE" w:rsidRPr="00D31442" w:rsidRDefault="00743DBE" w:rsidP="00AC3455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6</w:t>
      </w:r>
    </w:p>
    <w:p w14:paraId="660E6439" w14:textId="77777777" w:rsidR="005E126E" w:rsidRPr="00D31442" w:rsidRDefault="00743DBE" w:rsidP="00AC3455">
      <w:pPr>
        <w:tabs>
          <w:tab w:val="left" w:pos="1418"/>
        </w:tabs>
        <w:adjustRightInd w:val="0"/>
        <w:ind w:left="142"/>
        <w:jc w:val="both"/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Uchwała wchodzi w życie z dniem podjęcia.</w:t>
      </w:r>
    </w:p>
    <w:p w14:paraId="5127D05F" w14:textId="77777777" w:rsidR="00F01FA6" w:rsidRPr="00D31442" w:rsidRDefault="00F01FA6" w:rsidP="00F01FA6"/>
    <w:p w14:paraId="7F71BB67" w14:textId="77777777" w:rsidR="0060378E" w:rsidRPr="00496F31" w:rsidRDefault="0060378E" w:rsidP="0060378E">
      <w:pPr>
        <w:ind w:firstLine="3119"/>
        <w:jc w:val="center"/>
        <w:rPr>
          <w:color w:val="353C7C"/>
          <w:sz w:val="22"/>
          <w:szCs w:val="22"/>
        </w:rPr>
      </w:pPr>
      <w:r w:rsidRPr="00496F31">
        <w:rPr>
          <w:color w:val="353C7C"/>
          <w:sz w:val="22"/>
          <w:szCs w:val="22"/>
        </w:rPr>
        <w:t>Przewodniczący</w:t>
      </w:r>
    </w:p>
    <w:p w14:paraId="492F5807" w14:textId="77777777" w:rsidR="0060378E" w:rsidRPr="00D31442" w:rsidRDefault="0060378E" w:rsidP="0060378E">
      <w:pPr>
        <w:ind w:firstLine="3119"/>
        <w:jc w:val="center"/>
        <w:rPr>
          <w:sz w:val="22"/>
          <w:szCs w:val="22"/>
        </w:rPr>
      </w:pPr>
      <w:r w:rsidRPr="00D31442">
        <w:rPr>
          <w:sz w:val="22"/>
          <w:szCs w:val="22"/>
        </w:rPr>
        <w:t>Polskiej Komisji Akredytacyjnej</w:t>
      </w:r>
    </w:p>
    <w:p w14:paraId="09289124" w14:textId="2A4B2BBE" w:rsidR="00CB604D" w:rsidRDefault="00175D47" w:rsidP="00175D47">
      <w:pPr>
        <w:ind w:firstLine="3119"/>
        <w:jc w:val="center"/>
        <w:rPr>
          <w:sz w:val="22"/>
          <w:szCs w:val="22"/>
        </w:rPr>
      </w:pPr>
      <w:r>
        <w:rPr>
          <w:sz w:val="22"/>
          <w:szCs w:val="22"/>
        </w:rPr>
        <w:t>Podpisano podpisem kwalifikowanym w dniu 31.03.2021</w:t>
      </w:r>
    </w:p>
    <w:p w14:paraId="1050B436" w14:textId="1C306F3F" w:rsidR="0060378E" w:rsidRPr="00D31442" w:rsidRDefault="0060378E" w:rsidP="0060378E">
      <w:pPr>
        <w:ind w:firstLine="3119"/>
        <w:jc w:val="center"/>
        <w:rPr>
          <w:sz w:val="22"/>
          <w:szCs w:val="22"/>
        </w:rPr>
      </w:pPr>
      <w:r w:rsidRPr="00D31442">
        <w:rPr>
          <w:sz w:val="22"/>
          <w:szCs w:val="22"/>
        </w:rPr>
        <w:t>Krzysztof Diks</w:t>
      </w:r>
    </w:p>
    <w:p w14:paraId="031E24C2" w14:textId="77777777" w:rsidR="00C7707A" w:rsidRPr="00D31442" w:rsidRDefault="00C7707A" w:rsidP="00CD1415">
      <w:pPr>
        <w:sectPr w:rsidR="00C7707A" w:rsidRPr="00D31442" w:rsidSect="00C7707A">
          <w:headerReference w:type="default" r:id="rId11"/>
          <w:headerReference w:type="first" r:id="rId12"/>
          <w:footerReference w:type="first" r:id="rId13"/>
          <w:pgSz w:w="11900" w:h="16840"/>
          <w:pgMar w:top="953" w:right="1211" w:bottom="1474" w:left="2325" w:header="510" w:footer="567" w:gutter="0"/>
          <w:cols w:space="708"/>
          <w:docGrid w:linePitch="360"/>
        </w:sectPr>
      </w:pPr>
    </w:p>
    <w:p w14:paraId="3674CF3D" w14:textId="77777777" w:rsidR="00C578AE" w:rsidRPr="00D31442" w:rsidRDefault="00C578AE" w:rsidP="00C578AE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 w:rsidRPr="00D31442">
        <w:rPr>
          <w:rFonts w:ascii="Calibri" w:hAnsi="Calibri"/>
          <w:sz w:val="22"/>
        </w:rPr>
        <w:lastRenderedPageBreak/>
        <w:t>Załącznik</w:t>
      </w:r>
    </w:p>
    <w:p w14:paraId="3A3F29CF" w14:textId="41754BD2" w:rsidR="00C578AE" w:rsidRPr="00D31442" w:rsidRDefault="008D2DE8" w:rsidP="00C578AE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u</w:t>
      </w:r>
      <w:r w:rsidR="00C578AE" w:rsidRPr="00D31442">
        <w:rPr>
          <w:rFonts w:ascii="Calibri" w:hAnsi="Calibri"/>
          <w:sz w:val="22"/>
        </w:rPr>
        <w:t xml:space="preserve">chwały </w:t>
      </w:r>
      <w:r>
        <w:rPr>
          <w:rFonts w:ascii="Calibri" w:hAnsi="Calibri"/>
          <w:sz w:val="22"/>
        </w:rPr>
        <w:t>n</w:t>
      </w:r>
      <w:r w:rsidR="00C578AE" w:rsidRPr="00D31442">
        <w:rPr>
          <w:rFonts w:ascii="Calibri" w:hAnsi="Calibri"/>
          <w:sz w:val="22"/>
        </w:rPr>
        <w:t>r</w:t>
      </w:r>
      <w:r w:rsidR="00B04C4B">
        <w:rPr>
          <w:rFonts w:ascii="Calibri" w:hAnsi="Calibri"/>
          <w:sz w:val="22"/>
        </w:rPr>
        <w:t xml:space="preserve"> </w:t>
      </w:r>
      <w:r w:rsidR="00F74139">
        <w:rPr>
          <w:rFonts w:ascii="Calibri" w:hAnsi="Calibri"/>
          <w:sz w:val="22"/>
        </w:rPr>
        <w:t xml:space="preserve"> </w:t>
      </w:r>
      <w:r w:rsidR="00175D47">
        <w:rPr>
          <w:rFonts w:ascii="Calibri" w:hAnsi="Calibri"/>
          <w:sz w:val="22"/>
        </w:rPr>
        <w:t>220</w:t>
      </w:r>
      <w:r w:rsidR="000F74DF">
        <w:rPr>
          <w:rFonts w:ascii="Calibri" w:hAnsi="Calibri"/>
          <w:sz w:val="22"/>
        </w:rPr>
        <w:t>/</w:t>
      </w:r>
      <w:r w:rsidR="00496F31">
        <w:rPr>
          <w:rFonts w:ascii="Calibri" w:hAnsi="Calibri"/>
          <w:sz w:val="22"/>
        </w:rPr>
        <w:t>202</w:t>
      </w:r>
      <w:r w:rsidR="000F74DF">
        <w:rPr>
          <w:rFonts w:ascii="Calibri" w:hAnsi="Calibri"/>
          <w:sz w:val="22"/>
        </w:rPr>
        <w:t>1</w:t>
      </w:r>
    </w:p>
    <w:p w14:paraId="2433C218" w14:textId="77777777" w:rsidR="00C578AE" w:rsidRPr="00D31442" w:rsidRDefault="00C578AE" w:rsidP="00C578AE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 w:rsidRPr="00D31442">
        <w:rPr>
          <w:rFonts w:ascii="Calibri" w:hAnsi="Calibri"/>
          <w:sz w:val="22"/>
        </w:rPr>
        <w:t>Prezydium Polskiej Komisji Akredytacyjnej</w:t>
      </w:r>
    </w:p>
    <w:p w14:paraId="70A9C8AA" w14:textId="4F970AC2" w:rsidR="00B4306E" w:rsidRPr="00D31442" w:rsidRDefault="00C578AE" w:rsidP="00496F31">
      <w:pPr>
        <w:pStyle w:val="Stopka"/>
        <w:tabs>
          <w:tab w:val="left" w:pos="708"/>
        </w:tabs>
        <w:ind w:firstLine="708"/>
        <w:jc w:val="right"/>
        <w:rPr>
          <w:rFonts w:cs="Times New Roman"/>
          <w:b/>
          <w:bCs/>
          <w:sz w:val="28"/>
          <w:szCs w:val="28"/>
        </w:rPr>
      </w:pPr>
      <w:r w:rsidRPr="00D31442">
        <w:rPr>
          <w:rFonts w:ascii="Calibri" w:hAnsi="Calibri"/>
          <w:sz w:val="22"/>
        </w:rPr>
        <w:t>z dnia</w:t>
      </w:r>
      <w:r w:rsidR="00496F31">
        <w:rPr>
          <w:rFonts w:ascii="Calibri" w:hAnsi="Calibri"/>
          <w:sz w:val="22"/>
        </w:rPr>
        <w:t xml:space="preserve"> </w:t>
      </w:r>
      <w:r w:rsidR="00BF3AFD">
        <w:rPr>
          <w:rFonts w:ascii="Calibri" w:hAnsi="Calibri"/>
          <w:sz w:val="22"/>
        </w:rPr>
        <w:t xml:space="preserve">25 </w:t>
      </w:r>
      <w:r w:rsidR="00F74139">
        <w:rPr>
          <w:rFonts w:ascii="Calibri" w:hAnsi="Calibri"/>
          <w:sz w:val="22"/>
        </w:rPr>
        <w:t>marca</w:t>
      </w:r>
      <w:r w:rsidR="00496F31">
        <w:rPr>
          <w:rFonts w:ascii="Calibri" w:hAnsi="Calibri"/>
          <w:sz w:val="22"/>
        </w:rPr>
        <w:t xml:space="preserve"> 202</w:t>
      </w:r>
      <w:r w:rsidR="000F74DF">
        <w:rPr>
          <w:rFonts w:ascii="Calibri" w:hAnsi="Calibri"/>
          <w:sz w:val="22"/>
        </w:rPr>
        <w:t>1</w:t>
      </w:r>
      <w:r w:rsidR="00496F31">
        <w:rPr>
          <w:rFonts w:ascii="Calibri" w:hAnsi="Calibri"/>
          <w:sz w:val="22"/>
        </w:rPr>
        <w:t xml:space="preserve"> r.</w:t>
      </w:r>
    </w:p>
    <w:p w14:paraId="3C841992" w14:textId="77777777" w:rsidR="00B4306E" w:rsidRPr="00D31442" w:rsidRDefault="00B4306E" w:rsidP="00B4306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6022"/>
      </w:tblGrid>
      <w:tr w:rsidR="00D31442" w:rsidRPr="00D31442" w14:paraId="41EF6896" w14:textId="77777777" w:rsidTr="7EEFFD45">
        <w:trPr>
          <w:trHeight w:val="647"/>
        </w:trPr>
        <w:tc>
          <w:tcPr>
            <w:tcW w:w="2835" w:type="dxa"/>
            <w:vMerge w:val="restart"/>
          </w:tcPr>
          <w:p w14:paraId="32D5BA99" w14:textId="77777777" w:rsidR="00B4306E" w:rsidRPr="00D31442" w:rsidRDefault="00B4306E" w:rsidP="006727A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31442">
              <w:rPr>
                <w:rFonts w:ascii="Calibri" w:hAnsi="Calibri"/>
                <w:bCs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0" locked="1" layoutInCell="1" allowOverlap="0" wp14:anchorId="153A93C1" wp14:editId="0343134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3" name="Obraz 3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ygnet-pka-0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4C646123" w14:textId="77777777" w:rsidR="00B4306E" w:rsidRPr="00D31442" w:rsidRDefault="00B4306E" w:rsidP="006727AA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D31442" w:rsidRPr="00D31442" w14:paraId="4B126A58" w14:textId="77777777" w:rsidTr="7EEFFD45">
        <w:trPr>
          <w:trHeight w:val="2555"/>
        </w:trPr>
        <w:tc>
          <w:tcPr>
            <w:tcW w:w="2835" w:type="dxa"/>
            <w:vMerge/>
          </w:tcPr>
          <w:p w14:paraId="188C1969" w14:textId="77777777" w:rsidR="00B4306E" w:rsidRPr="00D31442" w:rsidRDefault="00B4306E" w:rsidP="006727A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C726AE1" w14:textId="381F0ECC" w:rsidR="00B4306E" w:rsidRPr="00A13DC1" w:rsidRDefault="00B4306E" w:rsidP="00A13DC1">
            <w:pPr>
              <w:pStyle w:val="PKA-STRONA1"/>
              <w:ind w:left="0"/>
              <w:jc w:val="left"/>
              <w:rPr>
                <w:color w:val="353C7C"/>
              </w:rPr>
            </w:pPr>
            <w:r w:rsidRPr="00496F31">
              <w:rPr>
                <w:color w:val="353C7C"/>
              </w:rPr>
              <w:t>O</w:t>
            </w:r>
            <w:r w:rsidRPr="00496F31">
              <w:rPr>
                <w:bCs w:val="0"/>
                <w:color w:val="353C7C"/>
              </w:rPr>
              <w:t>pinia</w:t>
            </w:r>
            <w:r w:rsidRPr="00496F31">
              <w:rPr>
                <w:color w:val="353C7C"/>
              </w:rPr>
              <w:t xml:space="preserve"> </w:t>
            </w:r>
            <w:r w:rsidRPr="00496F31">
              <w:rPr>
                <w:bCs w:val="0"/>
                <w:color w:val="353C7C"/>
              </w:rPr>
              <w:t>zespołu</w:t>
            </w:r>
            <w:r w:rsidRPr="00496F31">
              <w:rPr>
                <w:color w:val="353C7C"/>
              </w:rPr>
              <w:t xml:space="preserve"> </w:t>
            </w:r>
            <w:r w:rsidR="00B6433A" w:rsidRPr="00496F31">
              <w:rPr>
                <w:color w:val="353C7C"/>
              </w:rPr>
              <w:t xml:space="preserve">nauk </w:t>
            </w:r>
            <w:r w:rsidR="00A13DC1">
              <w:rPr>
                <w:color w:val="353C7C"/>
              </w:rPr>
              <w:t>ścisłych</w:t>
            </w:r>
            <w:r w:rsidR="00FD6B46">
              <w:rPr>
                <w:color w:val="353C7C"/>
              </w:rPr>
              <w:t xml:space="preserve"> i przyrodniczych</w:t>
            </w:r>
          </w:p>
          <w:p w14:paraId="1C7AF95B" w14:textId="77777777" w:rsidR="00B4306E" w:rsidRPr="00496F31" w:rsidRDefault="00B4306E" w:rsidP="006727AA">
            <w:pPr>
              <w:rPr>
                <w:rFonts w:cstheme="minorHAnsi"/>
                <w:bCs/>
                <w:color w:val="353C7C"/>
                <w:sz w:val="20"/>
                <w:szCs w:val="20"/>
              </w:rPr>
            </w:pPr>
          </w:p>
          <w:p w14:paraId="34BCD3B4" w14:textId="77777777" w:rsidR="00B4306E" w:rsidRPr="00D31442" w:rsidRDefault="00B4306E" w:rsidP="006727AA">
            <w:pPr>
              <w:pStyle w:val="Tytu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496F31">
              <w:rPr>
                <w:rFonts w:asciiTheme="minorHAnsi" w:hAnsiTheme="minorHAnsi" w:cstheme="minorHAnsi"/>
                <w:bCs/>
                <w:color w:val="353C7C"/>
                <w:sz w:val="36"/>
                <w:szCs w:val="36"/>
              </w:rPr>
              <w:t>w sprawie oceny programowej</w:t>
            </w:r>
          </w:p>
        </w:tc>
      </w:tr>
      <w:tr w:rsidR="00D31442" w:rsidRPr="00D31442" w14:paraId="04764BC5" w14:textId="77777777" w:rsidTr="7EEFFD45">
        <w:trPr>
          <w:trHeight w:val="686"/>
        </w:trPr>
        <w:tc>
          <w:tcPr>
            <w:tcW w:w="2835" w:type="dxa"/>
            <w:vMerge/>
          </w:tcPr>
          <w:p w14:paraId="1C869686" w14:textId="77777777" w:rsidR="00B4306E" w:rsidRPr="00D31442" w:rsidRDefault="00B4306E" w:rsidP="006727A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496360" w14:textId="1F07403F" w:rsidR="00B4306E" w:rsidRPr="00D31442" w:rsidRDefault="009A0947" w:rsidP="006727A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F466AAC" wp14:editId="6AAD8D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109219</wp:posOffset>
                      </wp:positionV>
                      <wp:extent cx="3587750" cy="0"/>
                      <wp:effectExtent l="19050" t="19050" r="317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58775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8820" id="Łącznik prosty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8.6pt" to="28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" strokecolor="#253c80" strokeweight="4pt">
                      <v:stroke joinstyle="miter" endcap="round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9457BA3" w14:textId="77777777" w:rsidR="00B4306E" w:rsidRPr="00D31442" w:rsidRDefault="00B4306E" w:rsidP="00B4306E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14:paraId="09A50977" w14:textId="77777777" w:rsidR="00B4306E" w:rsidRPr="00D31442" w:rsidRDefault="00B4306E" w:rsidP="00B4306E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1B68C744" w14:textId="77777777" w:rsidR="00B4306E" w:rsidRPr="00D31442" w:rsidRDefault="00B4306E" w:rsidP="00B4306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1DB1358D" w14:textId="21A2497F" w:rsidR="00B4306E" w:rsidRPr="00496F3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>Nazwa kierunku studiów:</w:t>
      </w:r>
      <w:r w:rsidR="00BE7E05">
        <w:rPr>
          <w:b/>
          <w:bCs/>
          <w:color w:val="353C7C"/>
        </w:rPr>
        <w:t xml:space="preserve"> </w:t>
      </w:r>
      <w:r w:rsidR="006D6287" w:rsidRPr="006D6287">
        <w:rPr>
          <w:b/>
          <w:bCs/>
          <w:color w:val="353C7C"/>
        </w:rPr>
        <w:t>gospodarka wodna i ochrona zasobów wód</w:t>
      </w:r>
    </w:p>
    <w:p w14:paraId="32601E64" w14:textId="5C1907FF" w:rsidR="00B4306E" w:rsidRPr="00496F3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 xml:space="preserve">Poziomy studiów: </w:t>
      </w:r>
      <w:r w:rsidR="00496F31">
        <w:rPr>
          <w:b/>
          <w:bCs/>
          <w:color w:val="353C7C"/>
        </w:rPr>
        <w:t xml:space="preserve">studia </w:t>
      </w:r>
      <w:r w:rsidR="00B6433A" w:rsidRPr="00496F31">
        <w:rPr>
          <w:b/>
          <w:bCs/>
          <w:color w:val="353C7C"/>
        </w:rPr>
        <w:t>pierwsz</w:t>
      </w:r>
      <w:r w:rsidR="00496F31">
        <w:rPr>
          <w:b/>
          <w:bCs/>
          <w:color w:val="353C7C"/>
        </w:rPr>
        <w:t>ego</w:t>
      </w:r>
      <w:r w:rsidR="00B6433A" w:rsidRPr="00496F31">
        <w:rPr>
          <w:b/>
          <w:bCs/>
          <w:color w:val="353C7C"/>
        </w:rPr>
        <w:t xml:space="preserve"> </w:t>
      </w:r>
      <w:r w:rsidR="00496F31">
        <w:rPr>
          <w:b/>
          <w:bCs/>
          <w:color w:val="353C7C"/>
        </w:rPr>
        <w:t>stopnia</w:t>
      </w:r>
    </w:p>
    <w:p w14:paraId="2C7AB6B3" w14:textId="22A93A0C" w:rsidR="00B4306E" w:rsidRPr="00496F3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 xml:space="preserve">Profil studiów: </w:t>
      </w:r>
      <w:r w:rsidR="006D6287">
        <w:rPr>
          <w:b/>
          <w:bCs/>
          <w:color w:val="353C7C"/>
        </w:rPr>
        <w:t>praktyczny</w:t>
      </w:r>
    </w:p>
    <w:p w14:paraId="7ABFB8BB" w14:textId="284683D7" w:rsidR="00B4306E" w:rsidRPr="00496F3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 xml:space="preserve">Forma studiów: </w:t>
      </w:r>
      <w:r w:rsidR="00B6433A" w:rsidRPr="00496F31">
        <w:rPr>
          <w:b/>
          <w:bCs/>
          <w:color w:val="353C7C"/>
        </w:rPr>
        <w:t>stacjonarne</w:t>
      </w:r>
      <w:r w:rsidR="000D06F1">
        <w:rPr>
          <w:b/>
          <w:bCs/>
          <w:color w:val="353C7C"/>
        </w:rPr>
        <w:t xml:space="preserve"> </w:t>
      </w:r>
    </w:p>
    <w:p w14:paraId="4242A1A3" w14:textId="4E1DA05A" w:rsidR="00B4306E" w:rsidRPr="00A13DC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>Nazwa i siedziba uczelni prowadzącej kierunek:</w:t>
      </w:r>
      <w:r w:rsidR="00B6433A" w:rsidRPr="00496F31">
        <w:rPr>
          <w:b/>
          <w:bCs/>
          <w:color w:val="353C7C"/>
        </w:rPr>
        <w:t xml:space="preserve"> </w:t>
      </w:r>
      <w:r w:rsidR="00DA0804">
        <w:rPr>
          <w:b/>
          <w:bCs/>
          <w:color w:val="353C7C"/>
        </w:rPr>
        <w:t xml:space="preserve">Uniwersytet </w:t>
      </w:r>
      <w:r w:rsidR="006D6287">
        <w:rPr>
          <w:b/>
          <w:bCs/>
          <w:color w:val="353C7C"/>
        </w:rPr>
        <w:t>Gdański</w:t>
      </w:r>
      <w:r w:rsidR="00F74139" w:rsidRPr="00F74139">
        <w:rPr>
          <w:b/>
          <w:bCs/>
          <w:color w:val="353C7C"/>
        </w:rPr>
        <w:t xml:space="preserve"> </w:t>
      </w:r>
    </w:p>
    <w:p w14:paraId="113FD0DF" w14:textId="09817F2A" w:rsidR="00B4306E" w:rsidRPr="00496F31" w:rsidRDefault="00B4306E" w:rsidP="00B4306E">
      <w:pPr>
        <w:pStyle w:val="pka-1-stronq"/>
        <w:rPr>
          <w:b/>
          <w:bCs/>
          <w:color w:val="353C7C"/>
        </w:rPr>
      </w:pPr>
      <w:r w:rsidRPr="00496F31">
        <w:rPr>
          <w:b/>
          <w:bCs/>
          <w:color w:val="353C7C"/>
        </w:rPr>
        <w:t>Data przeprowadzenia wizytacji:</w:t>
      </w:r>
      <w:r w:rsidR="0097221E" w:rsidRPr="00496F31">
        <w:rPr>
          <w:b/>
          <w:bCs/>
          <w:color w:val="353C7C"/>
        </w:rPr>
        <w:t xml:space="preserve"> </w:t>
      </w:r>
      <w:r w:rsidR="006D6287">
        <w:rPr>
          <w:b/>
          <w:bCs/>
          <w:color w:val="353C7C"/>
        </w:rPr>
        <w:t>3-4</w:t>
      </w:r>
      <w:r w:rsidR="00F74139">
        <w:rPr>
          <w:b/>
          <w:bCs/>
          <w:color w:val="353C7C"/>
        </w:rPr>
        <w:t xml:space="preserve"> grudnia</w:t>
      </w:r>
      <w:r w:rsidR="00690A93">
        <w:rPr>
          <w:b/>
          <w:bCs/>
          <w:color w:val="353C7C"/>
        </w:rPr>
        <w:t xml:space="preserve"> 20</w:t>
      </w:r>
      <w:r w:rsidR="00F80A37">
        <w:rPr>
          <w:b/>
          <w:bCs/>
          <w:color w:val="353C7C"/>
        </w:rPr>
        <w:t>20</w:t>
      </w:r>
      <w:r w:rsidR="00690A93">
        <w:rPr>
          <w:b/>
          <w:bCs/>
          <w:color w:val="353C7C"/>
        </w:rPr>
        <w:t xml:space="preserve"> </w:t>
      </w:r>
    </w:p>
    <w:p w14:paraId="583CA8A4" w14:textId="77777777" w:rsidR="00B4306E" w:rsidRPr="00D31442" w:rsidRDefault="00B4306E" w:rsidP="00B4306E">
      <w:pPr>
        <w:pStyle w:val="pka-1-stronq"/>
        <w:rPr>
          <w:b/>
          <w:bCs/>
        </w:rPr>
      </w:pPr>
    </w:p>
    <w:p w14:paraId="2A1E8D2C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711A928B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2374DC3A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55316F1E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6480A7C4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36B0EA30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3C150110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0CD6A38C" w14:textId="77777777" w:rsidR="00B4306E" w:rsidRPr="00D31442" w:rsidRDefault="00B4306E" w:rsidP="00B4306E">
      <w:pPr>
        <w:rPr>
          <w:rFonts w:cs="Times New Roman"/>
          <w:sz w:val="20"/>
          <w:szCs w:val="20"/>
        </w:rPr>
      </w:pPr>
    </w:p>
    <w:p w14:paraId="214CF872" w14:textId="77777777" w:rsidR="00B4306E" w:rsidRPr="00D31442" w:rsidRDefault="00B4306E" w:rsidP="00B4306E">
      <w:pPr>
        <w:rPr>
          <w:rFonts w:cs="Times New Roman"/>
          <w:b/>
          <w:sz w:val="28"/>
          <w:szCs w:val="28"/>
        </w:rPr>
      </w:pPr>
    </w:p>
    <w:p w14:paraId="20E3E4F0" w14:textId="7EF4E4A6" w:rsidR="00B4306E" w:rsidRPr="00D31442" w:rsidRDefault="00B4306E" w:rsidP="003E51EF">
      <w:pPr>
        <w:ind w:left="2268"/>
        <w:jc w:val="both"/>
        <w:rPr>
          <w:rFonts w:ascii="Arial" w:hAnsi="Arial" w:cs="Arial"/>
          <w:b/>
          <w:sz w:val="22"/>
        </w:rPr>
      </w:pPr>
      <w:r w:rsidRPr="00D31442">
        <w:rPr>
          <w:rFonts w:ascii="Arial" w:hAnsi="Arial" w:cs="Arial"/>
          <w:b/>
          <w:sz w:val="22"/>
        </w:rPr>
        <w:t xml:space="preserve">Warszawa, </w:t>
      </w:r>
      <w:r w:rsidR="003E51EF" w:rsidRPr="00D31442">
        <w:rPr>
          <w:rFonts w:ascii="Arial" w:hAnsi="Arial" w:cs="Arial"/>
          <w:b/>
          <w:sz w:val="22"/>
        </w:rPr>
        <w:t>202</w:t>
      </w:r>
      <w:r w:rsidR="000F74DF">
        <w:rPr>
          <w:rFonts w:ascii="Arial" w:hAnsi="Arial" w:cs="Arial"/>
          <w:b/>
          <w:sz w:val="22"/>
        </w:rPr>
        <w:t>1</w:t>
      </w:r>
    </w:p>
    <w:p w14:paraId="61D29584" w14:textId="77777777" w:rsidR="00B4306E" w:rsidRPr="00D31442" w:rsidRDefault="00B4306E" w:rsidP="00B4306E">
      <w:pPr>
        <w:spacing w:after="160" w:line="259" w:lineRule="auto"/>
        <w:rPr>
          <w:rFonts w:cstheme="minorHAnsi"/>
          <w:sz w:val="20"/>
          <w:szCs w:val="20"/>
        </w:rPr>
      </w:pPr>
    </w:p>
    <w:p w14:paraId="66BEC9FC" w14:textId="77777777" w:rsidR="00743DBE" w:rsidRPr="00496F31" w:rsidRDefault="00B4306E" w:rsidP="00743DBE">
      <w:pPr>
        <w:pStyle w:val="Spistreci1"/>
        <w:tabs>
          <w:tab w:val="clear" w:pos="9214"/>
        </w:tabs>
        <w:spacing w:after="0"/>
        <w:jc w:val="left"/>
        <w:rPr>
          <w:color w:val="353C7C"/>
          <w:sz w:val="22"/>
        </w:rPr>
      </w:pPr>
      <w:r w:rsidRPr="00D31442">
        <w:rPr>
          <w:sz w:val="22"/>
        </w:rPr>
        <w:br w:type="column"/>
      </w:r>
      <w:r w:rsidR="00743DBE" w:rsidRPr="00496F31">
        <w:rPr>
          <w:rFonts w:asciiTheme="minorHAnsi" w:eastAsia="Times New Roman" w:hAnsiTheme="minorHAnsi" w:cs="Calibri"/>
          <w:b/>
          <w:bCs/>
          <w:i/>
          <w:iCs/>
          <w:noProof w:val="0"/>
          <w:color w:val="353C7C"/>
          <w:sz w:val="22"/>
        </w:rPr>
        <w:lastRenderedPageBreak/>
        <w:t>Spis treści</w:t>
      </w:r>
      <w:r w:rsidR="00163043" w:rsidRPr="00496F31">
        <w:rPr>
          <w:rFonts w:asciiTheme="minorHAnsi" w:eastAsia="Times New Roman" w:hAnsiTheme="minorHAnsi" w:cs="Calibri"/>
          <w:b/>
          <w:bCs/>
          <w:i/>
          <w:iCs/>
          <w:noProof w:val="0"/>
          <w:color w:val="353C7C"/>
          <w:sz w:val="22"/>
        </w:rPr>
        <w:t xml:space="preserve"> </w:t>
      </w:r>
    </w:p>
    <w:p w14:paraId="4057AB01" w14:textId="182DE4BD" w:rsidR="00C96305" w:rsidRDefault="00870344">
      <w:pPr>
        <w:pStyle w:val="Spistreci1"/>
        <w:tabs>
          <w:tab w:val="left" w:pos="480"/>
        </w:tabs>
        <w:rPr>
          <w:rFonts w:asciiTheme="minorHAnsi" w:hAnsiTheme="minorHAnsi" w:cstheme="minorBidi"/>
          <w:sz w:val="22"/>
        </w:rPr>
      </w:pPr>
      <w:r w:rsidRPr="00D31442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 w:rsidR="00743DBE" w:rsidRPr="00D31442"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 w:rsidRPr="00D31442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 w:rsidR="00C96305" w:rsidRPr="00B70DAC">
        <w:rPr>
          <w:rFonts w:asciiTheme="minorHAnsi" w:hAnsiTheme="minorHAnsi"/>
          <w:b/>
        </w:rPr>
        <w:t>1.</w:t>
      </w:r>
      <w:r w:rsidR="00C96305">
        <w:rPr>
          <w:rFonts w:asciiTheme="minorHAnsi" w:hAnsiTheme="minorHAnsi" w:cstheme="minorBidi"/>
          <w:sz w:val="22"/>
        </w:rPr>
        <w:tab/>
      </w:r>
      <w:r w:rsidR="00C96305" w:rsidRPr="00B70DAC">
        <w:rPr>
          <w:rFonts w:asciiTheme="minorHAnsi" w:hAnsiTheme="minorHAnsi"/>
          <w:b/>
        </w:rPr>
        <w:t>Ocena stopnia spełnienia szczegółowych kryteriów oceny programowej</w:t>
      </w:r>
      <w:r w:rsidR="00C96305">
        <w:tab/>
      </w:r>
      <w:r>
        <w:fldChar w:fldCharType="begin"/>
      </w:r>
      <w:r w:rsidR="00C96305">
        <w:instrText xml:space="preserve"> PAGEREF _Toc39562003 \h </w:instrText>
      </w:r>
      <w:r>
        <w:fldChar w:fldCharType="separate"/>
      </w:r>
      <w:r w:rsidR="00480410">
        <w:t>4</w:t>
      </w:r>
      <w:r>
        <w:fldChar w:fldCharType="end"/>
      </w:r>
    </w:p>
    <w:p w14:paraId="7E4812C3" w14:textId="0819CF53" w:rsidR="00C96305" w:rsidRDefault="00C96305">
      <w:pPr>
        <w:pStyle w:val="Spistreci1"/>
        <w:tabs>
          <w:tab w:val="left" w:pos="480"/>
        </w:tabs>
        <w:rPr>
          <w:rFonts w:asciiTheme="minorHAnsi" w:hAnsiTheme="minorHAnsi" w:cstheme="minorBidi"/>
          <w:sz w:val="22"/>
        </w:rPr>
      </w:pPr>
      <w:r w:rsidRPr="00B70DAC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Bidi"/>
          <w:sz w:val="22"/>
        </w:rPr>
        <w:tab/>
      </w:r>
      <w:r w:rsidRPr="00B70DAC">
        <w:rPr>
          <w:rFonts w:asciiTheme="minorHAnsi" w:hAnsiTheme="minorHAnsi" w:cstheme="minorHAnsi"/>
          <w:b/>
        </w:rPr>
        <w:t xml:space="preserve">Uzasadnienie oceny stopnia spełnienia każdego z szczegółowych kryteriów oceny programowej </w:t>
      </w:r>
      <w:r w:rsidRPr="00B70DAC">
        <w:rPr>
          <w:rFonts w:asciiTheme="minorHAnsi" w:hAnsiTheme="minorHAnsi" w:cstheme="minorHAnsi"/>
          <w:bCs/>
          <w:i/>
          <w:iCs/>
        </w:rPr>
        <w:t>(w porządku według poszczególnych kryteriów)</w:t>
      </w:r>
      <w:r>
        <w:tab/>
      </w:r>
      <w:r w:rsidR="00870344">
        <w:fldChar w:fldCharType="begin"/>
      </w:r>
      <w:r>
        <w:instrText xml:space="preserve"> PAGEREF _Toc39562004 \h </w:instrText>
      </w:r>
      <w:r w:rsidR="00870344">
        <w:fldChar w:fldCharType="separate"/>
      </w:r>
      <w:r w:rsidR="00480410">
        <w:t>5</w:t>
      </w:r>
      <w:r w:rsidR="00870344">
        <w:fldChar w:fldCharType="end"/>
      </w:r>
    </w:p>
    <w:p w14:paraId="2E04B508" w14:textId="08028203" w:rsidR="00C96305" w:rsidRDefault="00C96305">
      <w:pPr>
        <w:pStyle w:val="Spistreci1"/>
        <w:tabs>
          <w:tab w:val="left" w:pos="480"/>
        </w:tabs>
        <w:rPr>
          <w:rFonts w:asciiTheme="minorHAnsi" w:hAnsiTheme="minorHAnsi" w:cstheme="minorBidi"/>
          <w:sz w:val="22"/>
        </w:rPr>
      </w:pPr>
      <w:r w:rsidRPr="00B70DAC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Bidi"/>
          <w:sz w:val="22"/>
        </w:rPr>
        <w:tab/>
      </w:r>
      <w:r w:rsidRPr="00B70DAC">
        <w:rPr>
          <w:rFonts w:asciiTheme="minorHAnsi" w:eastAsiaTheme="minorHAnsi" w:hAnsiTheme="minorHAnsi" w:cstheme="minorHAnsi"/>
          <w:b/>
          <w:bCs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B70DAC">
        <w:rPr>
          <w:rFonts w:asciiTheme="minorHAnsi" w:hAnsiTheme="minorHAnsi" w:cstheme="minorHAnsi"/>
        </w:rPr>
        <w:t xml:space="preserve"> </w:t>
      </w:r>
      <w:r w:rsidRPr="00B70DAC">
        <w:rPr>
          <w:rFonts w:asciiTheme="minorHAnsi" w:hAnsiTheme="minorHAnsi" w:cstheme="minorHAnsi"/>
          <w:bCs/>
          <w:i/>
          <w:iCs/>
        </w:rPr>
        <w:t>(w porządku według poszczególnych zaleceń)</w:t>
      </w:r>
      <w:r>
        <w:tab/>
      </w:r>
      <w:r w:rsidR="00870344">
        <w:fldChar w:fldCharType="begin"/>
      </w:r>
      <w:r>
        <w:instrText xml:space="preserve"> PAGEREF _Toc39562005 \h </w:instrText>
      </w:r>
      <w:r w:rsidR="00870344">
        <w:fldChar w:fldCharType="separate"/>
      </w:r>
      <w:r w:rsidR="00480410">
        <w:t>10</w:t>
      </w:r>
      <w:r w:rsidR="00870344">
        <w:fldChar w:fldCharType="end"/>
      </w:r>
    </w:p>
    <w:p w14:paraId="05A1C6DB" w14:textId="036B78C4" w:rsidR="00C96305" w:rsidRDefault="00C96305">
      <w:pPr>
        <w:pStyle w:val="Spistreci1"/>
        <w:tabs>
          <w:tab w:val="left" w:pos="480"/>
        </w:tabs>
        <w:rPr>
          <w:rFonts w:asciiTheme="minorHAnsi" w:hAnsiTheme="minorHAnsi" w:cstheme="minorBidi"/>
          <w:sz w:val="22"/>
        </w:rPr>
      </w:pPr>
      <w:r w:rsidRPr="00B70DAC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Bidi"/>
          <w:sz w:val="22"/>
        </w:rPr>
        <w:tab/>
      </w:r>
      <w:r w:rsidRPr="00B70DAC">
        <w:rPr>
          <w:rFonts w:asciiTheme="minorHAnsi" w:hAnsiTheme="minorHAnsi" w:cstheme="minorHAnsi"/>
          <w:b/>
        </w:rPr>
        <w:t>Wniosek końcowy i propozycja oceny programowej</w:t>
      </w:r>
      <w:r>
        <w:tab/>
      </w:r>
      <w:r w:rsidR="00870344">
        <w:fldChar w:fldCharType="begin"/>
      </w:r>
      <w:r>
        <w:instrText xml:space="preserve"> PAGEREF _Toc39562006 \h </w:instrText>
      </w:r>
      <w:r w:rsidR="00870344">
        <w:fldChar w:fldCharType="separate"/>
      </w:r>
      <w:r w:rsidR="00480410">
        <w:t>10</w:t>
      </w:r>
      <w:r w:rsidR="00870344">
        <w:fldChar w:fldCharType="end"/>
      </w:r>
    </w:p>
    <w:p w14:paraId="2A5675F5" w14:textId="48CF52F7" w:rsidR="00C96305" w:rsidRDefault="00C96305">
      <w:pPr>
        <w:pStyle w:val="Spistreci1"/>
        <w:tabs>
          <w:tab w:val="left" w:pos="480"/>
        </w:tabs>
        <w:rPr>
          <w:rFonts w:asciiTheme="minorHAnsi" w:hAnsiTheme="minorHAnsi" w:cstheme="minorBidi"/>
          <w:sz w:val="22"/>
        </w:rPr>
      </w:pPr>
      <w:r w:rsidRPr="00B70DAC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Bidi"/>
          <w:sz w:val="22"/>
        </w:rPr>
        <w:tab/>
      </w:r>
      <w:r w:rsidRPr="00B70DAC">
        <w:rPr>
          <w:rFonts w:asciiTheme="minorHAnsi" w:hAnsiTheme="minorHAnsi" w:cstheme="minorHAnsi"/>
          <w:b/>
        </w:rPr>
        <w:t>Rekomendacja przyznania uczelni Certyfikatu Doskonałości Kształcenia wraz z określeniem kategorii i uzasadnieniem</w:t>
      </w:r>
      <w:r w:rsidRPr="00B70DAC">
        <w:rPr>
          <w:rFonts w:asciiTheme="minorHAnsi" w:hAnsiTheme="minorHAnsi" w:cstheme="minorHAnsi"/>
        </w:rPr>
        <w:t xml:space="preserve"> </w:t>
      </w:r>
      <w:r w:rsidRPr="00B70DAC">
        <w:rPr>
          <w:rFonts w:asciiTheme="minorHAnsi" w:hAnsiTheme="minorHAnsi" w:cstheme="minorHAnsi"/>
          <w:bCs/>
          <w:i/>
          <w:iCs/>
        </w:rPr>
        <w:t>(jeśli dotyczy)</w:t>
      </w:r>
      <w:r>
        <w:tab/>
      </w:r>
      <w:r w:rsidR="00870344">
        <w:fldChar w:fldCharType="begin"/>
      </w:r>
      <w:r>
        <w:instrText xml:space="preserve"> PAGEREF _Toc39562007 \h </w:instrText>
      </w:r>
      <w:r w:rsidR="00870344">
        <w:fldChar w:fldCharType="separate"/>
      </w:r>
      <w:r w:rsidR="00480410">
        <w:t>10</w:t>
      </w:r>
      <w:r w:rsidR="00870344">
        <w:fldChar w:fldCharType="end"/>
      </w:r>
    </w:p>
    <w:p w14:paraId="51F80CE6" w14:textId="77777777" w:rsidR="00743DBE" w:rsidRPr="00D31442" w:rsidRDefault="00870344" w:rsidP="00743DBE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 w:rsidRPr="00D31442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14:paraId="3413A5AD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sz w:val="22"/>
        </w:rPr>
      </w:pPr>
    </w:p>
    <w:p w14:paraId="70C7BAAE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951A770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0C9141D7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B9799E4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1F78FED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159579B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6B82AD59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0F411995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F7F327C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DC09237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FB639A6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CCE5DD6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3F2ADFD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009952F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7AACF07B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79298AA" w14:textId="77777777" w:rsidR="00690A93" w:rsidRPr="00F920A2" w:rsidRDefault="00743DBE" w:rsidP="00690A93">
      <w:pPr>
        <w:spacing w:after="160" w:line="259" w:lineRule="auto"/>
        <w:jc w:val="both"/>
        <w:rPr>
          <w:rFonts w:cstheme="minorHAnsi"/>
          <w:bCs/>
          <w:sz w:val="22"/>
          <w:szCs w:val="22"/>
        </w:rPr>
      </w:pPr>
      <w:r w:rsidRPr="00D31442">
        <w:rPr>
          <w:rFonts w:cstheme="minorHAnsi"/>
          <w:bCs/>
          <w:sz w:val="22"/>
        </w:rPr>
        <w:br w:type="column"/>
      </w:r>
      <w:r w:rsidR="00690A93" w:rsidRPr="00F920A2">
        <w:rPr>
          <w:rFonts w:cstheme="minorHAnsi"/>
          <w:bCs/>
          <w:sz w:val="22"/>
          <w:szCs w:val="22"/>
        </w:rPr>
        <w:lastRenderedPageBreak/>
        <w:t>Opinia została sporządzona na podstawie raportu zespołu oceniającego PKA w składzie:</w:t>
      </w:r>
    </w:p>
    <w:p w14:paraId="2DF7A6DF" w14:textId="1F543899" w:rsidR="009F3C3D" w:rsidRPr="00BE7E05" w:rsidRDefault="009F3C3D" w:rsidP="009F3C3D">
      <w:pPr>
        <w:pStyle w:val="PKA-tekstcigy"/>
        <w:rPr>
          <w:bCs/>
        </w:rPr>
      </w:pPr>
      <w:r w:rsidRPr="00CF0DF0">
        <w:t>Przewodnicząc</w:t>
      </w:r>
      <w:r w:rsidR="00A13DC1">
        <w:t>y</w:t>
      </w:r>
      <w:r w:rsidRPr="00CF0DF0">
        <w:t xml:space="preserve">: </w:t>
      </w:r>
      <w:r w:rsidR="00DA0804">
        <w:t xml:space="preserve">prof. </w:t>
      </w:r>
      <w:r w:rsidR="00376834">
        <w:t xml:space="preserve">dr hab. </w:t>
      </w:r>
      <w:r w:rsidR="00DC5345">
        <w:t>Mariusz Rzętała</w:t>
      </w:r>
      <w:r w:rsidR="00376834">
        <w:t>, członek PKA</w:t>
      </w:r>
    </w:p>
    <w:p w14:paraId="10C98F2F" w14:textId="77777777" w:rsidR="009F3C3D" w:rsidRPr="00C96305" w:rsidRDefault="009F3C3D" w:rsidP="009F3C3D">
      <w:pPr>
        <w:spacing w:before="240"/>
        <w:rPr>
          <w:sz w:val="22"/>
          <w:szCs w:val="22"/>
        </w:rPr>
      </w:pPr>
      <w:r w:rsidRPr="00C96305">
        <w:rPr>
          <w:sz w:val="22"/>
          <w:szCs w:val="22"/>
        </w:rPr>
        <w:t>członkowie:</w:t>
      </w:r>
    </w:p>
    <w:p w14:paraId="5516335A" w14:textId="591D61A9" w:rsidR="00376834" w:rsidRPr="00700939" w:rsidRDefault="00376834" w:rsidP="00376834">
      <w:pPr>
        <w:pStyle w:val="PKA-1"/>
      </w:pPr>
      <w:r w:rsidRPr="00700939">
        <w:t xml:space="preserve">1. </w:t>
      </w:r>
      <w:r w:rsidR="00DC5345">
        <w:t xml:space="preserve">prof. </w:t>
      </w:r>
      <w:r>
        <w:t xml:space="preserve">dr hab. </w:t>
      </w:r>
      <w:r w:rsidR="00DC5345">
        <w:t>Wiaczesław Andrejczuk</w:t>
      </w:r>
      <w:r>
        <w:t xml:space="preserve">, </w:t>
      </w:r>
      <w:r w:rsidR="00F74139">
        <w:t>ekspert</w:t>
      </w:r>
      <w:r>
        <w:t xml:space="preserve"> PKA</w:t>
      </w:r>
      <w:r w:rsidRPr="00700939">
        <w:tab/>
      </w:r>
    </w:p>
    <w:p w14:paraId="4FBCD61E" w14:textId="4D689C90" w:rsidR="00376834" w:rsidRPr="00700939" w:rsidRDefault="00376834" w:rsidP="00376834">
      <w:pPr>
        <w:pStyle w:val="PKA-1"/>
      </w:pPr>
      <w:r w:rsidRPr="00700939">
        <w:t>2.</w:t>
      </w:r>
      <w:r w:rsidR="00221524">
        <w:t xml:space="preserve"> </w:t>
      </w:r>
      <w:r w:rsidR="00DC5345">
        <w:t xml:space="preserve">prof. </w:t>
      </w:r>
      <w:r>
        <w:t xml:space="preserve">dr hab. </w:t>
      </w:r>
      <w:r w:rsidR="00DC5345">
        <w:t>Krzysztof Fortuniak</w:t>
      </w:r>
      <w:r>
        <w:t>, ekspert PKA</w:t>
      </w:r>
      <w:r w:rsidRPr="00700939">
        <w:tab/>
      </w:r>
    </w:p>
    <w:p w14:paraId="1A6F0F3F" w14:textId="08954813" w:rsidR="00376834" w:rsidRPr="00700939" w:rsidRDefault="00376834" w:rsidP="00376834">
      <w:pPr>
        <w:pStyle w:val="PKA-1"/>
      </w:pPr>
      <w:r w:rsidRPr="00700939">
        <w:t xml:space="preserve">3. </w:t>
      </w:r>
      <w:r w:rsidR="00DC5345">
        <w:t>dr inż. Waldemar Grądzki</w:t>
      </w:r>
      <w:r>
        <w:t xml:space="preserve">, </w:t>
      </w:r>
      <w:r w:rsidRPr="3360B457">
        <w:rPr>
          <w:rFonts w:eastAsia="Calibri" w:cs="Calibri"/>
        </w:rPr>
        <w:t>ekspert PKA reprezent</w:t>
      </w:r>
      <w:r w:rsidR="00793DAE">
        <w:rPr>
          <w:rFonts w:eastAsia="Calibri" w:cs="Calibri"/>
        </w:rPr>
        <w:t>ujący</w:t>
      </w:r>
      <w:r w:rsidRPr="3360B457">
        <w:rPr>
          <w:rFonts w:eastAsia="Calibri" w:cs="Calibri"/>
        </w:rPr>
        <w:t xml:space="preserve"> pracodawców</w:t>
      </w:r>
      <w:r w:rsidRPr="00700939">
        <w:tab/>
      </w:r>
    </w:p>
    <w:p w14:paraId="31A8AF44" w14:textId="097CB924" w:rsidR="00376834" w:rsidRPr="00700939" w:rsidRDefault="00376834" w:rsidP="00376834">
      <w:pPr>
        <w:pStyle w:val="PKA-1"/>
      </w:pPr>
      <w:r w:rsidRPr="00700939">
        <w:t xml:space="preserve">4. </w:t>
      </w:r>
      <w:r w:rsidR="00DC5345">
        <w:t>Joanna Maruszczak</w:t>
      </w:r>
      <w:r w:rsidR="00DA0804">
        <w:t>,</w:t>
      </w:r>
      <w:r>
        <w:t xml:space="preserve"> </w:t>
      </w:r>
      <w:r w:rsidRPr="3360B457">
        <w:rPr>
          <w:rFonts w:eastAsia="Calibri" w:cs="Calibri"/>
        </w:rPr>
        <w:t>ekspert PKA reprezent</w:t>
      </w:r>
      <w:r w:rsidR="00793DAE">
        <w:rPr>
          <w:rFonts w:eastAsia="Calibri" w:cs="Calibri"/>
        </w:rPr>
        <w:t>ujący</w:t>
      </w:r>
      <w:r w:rsidRPr="3360B457">
        <w:rPr>
          <w:rFonts w:eastAsia="Calibri" w:cs="Calibri"/>
        </w:rPr>
        <w:t xml:space="preserve"> studentów</w:t>
      </w:r>
    </w:p>
    <w:p w14:paraId="3E6A3269" w14:textId="160CAE9C" w:rsidR="009F3C3D" w:rsidRPr="00CF0DF0" w:rsidRDefault="00376834" w:rsidP="00376834">
      <w:pPr>
        <w:pStyle w:val="PKA-1"/>
      </w:pPr>
      <w:r>
        <w:t xml:space="preserve">5. </w:t>
      </w:r>
      <w:r w:rsidR="00DC5345">
        <w:t>Agnieszka Kaczmarek-Kacprzak</w:t>
      </w:r>
      <w:r>
        <w:t>, sekretarz zespołu oceniającego PKA</w:t>
      </w:r>
    </w:p>
    <w:p w14:paraId="0B1CB7F8" w14:textId="77777777" w:rsidR="009F3C3D" w:rsidRPr="00CF0DF0" w:rsidRDefault="009F3C3D" w:rsidP="009F3C3D">
      <w:pPr>
        <w:tabs>
          <w:tab w:val="left" w:leader="dot" w:pos="4536"/>
        </w:tabs>
        <w:rPr>
          <w:rFonts w:ascii="Arial" w:hAnsi="Arial" w:cs="Arial"/>
          <w:bCs/>
        </w:rPr>
      </w:pPr>
    </w:p>
    <w:p w14:paraId="67CA660E" w14:textId="0F2E00B0" w:rsidR="009F3C3D" w:rsidRPr="00BE7E05" w:rsidRDefault="009F3C3D" w:rsidP="009F3C3D">
      <w:pPr>
        <w:spacing w:after="160" w:line="259" w:lineRule="auto"/>
        <w:jc w:val="both"/>
        <w:rPr>
          <w:rFonts w:cstheme="minorHAnsi"/>
          <w:bCs/>
          <w:sz w:val="22"/>
          <w:szCs w:val="22"/>
        </w:rPr>
      </w:pPr>
      <w:r w:rsidRPr="00F920A2">
        <w:rPr>
          <w:rFonts w:cstheme="minorHAnsi"/>
          <w:bCs/>
          <w:sz w:val="22"/>
          <w:szCs w:val="22"/>
        </w:rPr>
        <w:t>oraz stanowiska</w:t>
      </w:r>
      <w:r w:rsidR="00F80A37">
        <w:rPr>
          <w:rFonts w:cstheme="minorHAnsi"/>
          <w:bCs/>
          <w:sz w:val="22"/>
          <w:szCs w:val="22"/>
        </w:rPr>
        <w:t xml:space="preserve"> </w:t>
      </w:r>
      <w:r w:rsidR="00DA0804">
        <w:rPr>
          <w:rFonts w:cstheme="minorHAnsi"/>
          <w:bCs/>
          <w:sz w:val="22"/>
          <w:szCs w:val="22"/>
        </w:rPr>
        <w:t xml:space="preserve">Uniwersytetu </w:t>
      </w:r>
      <w:r w:rsidR="00DC5345">
        <w:rPr>
          <w:rFonts w:cstheme="minorHAnsi"/>
          <w:bCs/>
          <w:sz w:val="22"/>
          <w:szCs w:val="22"/>
        </w:rPr>
        <w:t>Gdańskiego</w:t>
      </w:r>
      <w:r w:rsidRPr="00F920A2">
        <w:rPr>
          <w:rFonts w:cstheme="minorHAnsi"/>
          <w:bCs/>
          <w:sz w:val="22"/>
          <w:szCs w:val="22"/>
        </w:rPr>
        <w:t>, przedstawionego w</w:t>
      </w:r>
      <w:r w:rsidR="00AA4477">
        <w:rPr>
          <w:rFonts w:cstheme="minorHAnsi"/>
          <w:bCs/>
          <w:sz w:val="22"/>
          <w:szCs w:val="22"/>
        </w:rPr>
        <w:t xml:space="preserve"> </w:t>
      </w:r>
      <w:r w:rsidRPr="00F920A2">
        <w:rPr>
          <w:rFonts w:cstheme="minorHAnsi"/>
          <w:bCs/>
          <w:sz w:val="22"/>
          <w:szCs w:val="22"/>
        </w:rPr>
        <w:t xml:space="preserve">piśmie </w:t>
      </w:r>
      <w:r w:rsidR="00DC5345">
        <w:rPr>
          <w:rFonts w:cstheme="minorHAnsi"/>
          <w:bCs/>
          <w:sz w:val="22"/>
          <w:szCs w:val="22"/>
        </w:rPr>
        <w:t>R500/178/2021</w:t>
      </w:r>
      <w:r w:rsidR="00F74139">
        <w:rPr>
          <w:rFonts w:cstheme="minorHAnsi"/>
          <w:bCs/>
          <w:sz w:val="22"/>
          <w:szCs w:val="22"/>
        </w:rPr>
        <w:t xml:space="preserve"> </w:t>
      </w:r>
      <w:r w:rsidR="00A13DC1">
        <w:rPr>
          <w:rFonts w:cstheme="minorHAnsi"/>
          <w:bCs/>
          <w:sz w:val="22"/>
          <w:szCs w:val="22"/>
        </w:rPr>
        <w:t>z</w:t>
      </w:r>
      <w:r w:rsidRPr="00F920A2">
        <w:rPr>
          <w:rFonts w:cstheme="minorHAnsi"/>
          <w:bCs/>
          <w:sz w:val="22"/>
          <w:szCs w:val="22"/>
        </w:rPr>
        <w:t xml:space="preserve"> dnia </w:t>
      </w:r>
      <w:r w:rsidR="00DC5345">
        <w:rPr>
          <w:rFonts w:cstheme="minorHAnsi"/>
          <w:bCs/>
          <w:sz w:val="22"/>
          <w:szCs w:val="22"/>
        </w:rPr>
        <w:t>26 stycznia</w:t>
      </w:r>
      <w:r>
        <w:rPr>
          <w:rFonts w:cstheme="minorHAnsi"/>
          <w:bCs/>
          <w:sz w:val="22"/>
          <w:szCs w:val="22"/>
        </w:rPr>
        <w:t xml:space="preserve"> 202</w:t>
      </w:r>
      <w:r w:rsidR="00F74139">
        <w:rPr>
          <w:rFonts w:cstheme="minorHAnsi"/>
          <w:bCs/>
          <w:sz w:val="22"/>
          <w:szCs w:val="22"/>
        </w:rPr>
        <w:t>1</w:t>
      </w:r>
      <w:r w:rsidRPr="00F920A2">
        <w:rPr>
          <w:rFonts w:cstheme="minorHAnsi"/>
          <w:bCs/>
          <w:sz w:val="22"/>
          <w:szCs w:val="22"/>
        </w:rPr>
        <w:t xml:space="preserve"> r.</w:t>
      </w:r>
    </w:p>
    <w:p w14:paraId="5ABA136E" w14:textId="77777777" w:rsidR="00BE7E05" w:rsidRPr="00CF0DF0" w:rsidRDefault="00BE7E05" w:rsidP="00690A93">
      <w:pPr>
        <w:spacing w:after="160" w:line="259" w:lineRule="auto"/>
        <w:jc w:val="both"/>
      </w:pPr>
    </w:p>
    <w:p w14:paraId="2F8855D4" w14:textId="77777777" w:rsidR="00743DBE" w:rsidRPr="00D31442" w:rsidRDefault="00743DBE" w:rsidP="00743DBE">
      <w:pPr>
        <w:spacing w:after="160" w:line="259" w:lineRule="auto"/>
        <w:jc w:val="both"/>
        <w:rPr>
          <w:rFonts w:cstheme="minorHAnsi"/>
          <w:b/>
          <w:sz w:val="22"/>
        </w:rPr>
      </w:pPr>
      <w:r w:rsidRPr="00D31442">
        <w:rPr>
          <w:rFonts w:cstheme="minorHAnsi"/>
          <w:b/>
          <w:sz w:val="22"/>
        </w:rPr>
        <w:br w:type="page"/>
      </w:r>
    </w:p>
    <w:p w14:paraId="1C516AF4" w14:textId="77777777" w:rsidR="004822D6" w:rsidRDefault="004822D6" w:rsidP="004822D6">
      <w:pPr>
        <w:pStyle w:val="Nagwek1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4" w:name="_Toc19092915"/>
      <w:bookmarkStart w:id="5" w:name="_Toc39562003"/>
      <w:bookmarkStart w:id="6" w:name="_Toc18944703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4"/>
      <w:bookmarkEnd w:id="5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09" w:type="dxa"/>
        <w:tblInd w:w="-856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268"/>
        <w:gridCol w:w="2237"/>
      </w:tblGrid>
      <w:tr w:rsidR="004822D6" w14:paraId="7B6CA9F1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A80CA4F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9DE3754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</w:p>
          <w:p w14:paraId="1CFD6A75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hideMark/>
          </w:tcPr>
          <w:p w14:paraId="40E9D548" w14:textId="77777777" w:rsidR="004822D6" w:rsidRDefault="004822D6">
            <w:pPr>
              <w:jc w:val="center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</w:p>
          <w:p w14:paraId="65A80FA2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</w:tr>
      <w:tr w:rsidR="004822D6" w14:paraId="18E55FD6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2C07891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CDE0972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  <w:r w:rsidR="00690A93">
              <w:rPr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D1D5226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40E357CB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29A5B1A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6A5BD6C" w14:textId="1617CD5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  <w:r w:rsidR="00690A93">
              <w:rPr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F60D549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14555A5E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CABCD67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5F3CD46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4516BCCA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20777D36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978787B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0DB2C03B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D855E18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0E6652C4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30B46D4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02A8EE10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5C19463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54C1E866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0681E78C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409C9E21" w14:textId="77777777" w:rsidR="004822D6" w:rsidRDefault="004822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36B41A3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2E91EBAE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DFD7742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FD4EF86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6F5CBA2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6192C03D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F0B4648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E940A5A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05E027F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3D6ABAAC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5E5D8F9" w14:textId="77777777" w:rsidR="004822D6" w:rsidRDefault="004822D6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DC1A91D" w14:textId="50E2C120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  <w:r w:rsidR="000F1EED">
              <w:rPr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981A383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  <w:tr w:rsidR="004822D6" w14:paraId="6016C73E" w14:textId="77777777" w:rsidTr="003F2622">
        <w:trPr>
          <w:trHeight w:val="680"/>
        </w:trPr>
        <w:tc>
          <w:tcPr>
            <w:tcW w:w="4704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42882968" w14:textId="77777777" w:rsidR="004822D6" w:rsidRDefault="004822D6">
            <w:pPr>
              <w:jc w:val="both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Kryterium 10. Polityka jakości, projektowanie, zatwierdzanie, monitorowanie, przegląd i doskonalenie programu studiów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CA95B36" w14:textId="11F6FBAA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  <w:r w:rsidR="00F74139">
              <w:rPr>
                <w:sz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081D1E0E" w14:textId="77777777" w:rsidR="004822D6" w:rsidRDefault="004822D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</w:t>
            </w:r>
          </w:p>
        </w:tc>
      </w:tr>
    </w:tbl>
    <w:p w14:paraId="64E66C4A" w14:textId="77777777" w:rsidR="004822D6" w:rsidRPr="00DA0804" w:rsidRDefault="004822D6" w:rsidP="00DA0804">
      <w:pPr>
        <w:jc w:val="both"/>
        <w:rPr>
          <w:rFonts w:cstheme="minorHAnsi"/>
          <w:sz w:val="22"/>
          <w:szCs w:val="22"/>
        </w:rPr>
      </w:pPr>
    </w:p>
    <w:p w14:paraId="76D539C2" w14:textId="77777777" w:rsidR="004C3A8A" w:rsidRPr="00DA0804" w:rsidRDefault="004C3A8A" w:rsidP="00DA0804">
      <w:pPr>
        <w:keepNext/>
        <w:keepLines/>
        <w:jc w:val="both"/>
        <w:outlineLvl w:val="2"/>
        <w:rPr>
          <w:rFonts w:eastAsia="Times New Roman" w:cstheme="minorHAnsi"/>
          <w:b/>
          <w:sz w:val="22"/>
          <w:szCs w:val="22"/>
          <w:lang w:eastAsia="pl-PL"/>
        </w:rPr>
      </w:pPr>
    </w:p>
    <w:p w14:paraId="6D15B060" w14:textId="77777777" w:rsidR="004C3A8A" w:rsidRPr="00E57521" w:rsidRDefault="004C3A8A" w:rsidP="00E57521">
      <w:pPr>
        <w:pStyle w:val="Nagwek1"/>
        <w:numPr>
          <w:ilvl w:val="0"/>
          <w:numId w:val="8"/>
        </w:numPr>
        <w:spacing w:before="0"/>
        <w:ind w:left="0" w:firstLine="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eastAsia="pl-PL"/>
        </w:rPr>
      </w:pPr>
      <w:bookmarkStart w:id="7" w:name="_Toc19092916"/>
      <w:bookmarkStart w:id="8" w:name="_Toc39562004"/>
      <w:r w:rsidRPr="00E57521">
        <w:rPr>
          <w:rFonts w:ascii="Calibri" w:hAnsi="Calibri" w:cs="Calibri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 w:rsidRPr="00E57521">
        <w:rPr>
          <w:rFonts w:ascii="Calibri" w:hAnsi="Calibri" w:cs="Calibri"/>
          <w:bCs/>
          <w:i/>
          <w:iCs/>
          <w:color w:val="auto"/>
          <w:sz w:val="22"/>
          <w:szCs w:val="22"/>
          <w:lang w:eastAsia="pl-PL"/>
        </w:rPr>
        <w:t>(w porządku według poszczególnych kryteriów)</w:t>
      </w:r>
      <w:bookmarkEnd w:id="7"/>
      <w:bookmarkEnd w:id="8"/>
      <w:r w:rsidRPr="00E57521">
        <w:rPr>
          <w:rFonts w:ascii="Calibri" w:hAnsi="Calibri" w:cs="Calibri"/>
          <w:b/>
          <w:color w:val="auto"/>
          <w:sz w:val="22"/>
          <w:szCs w:val="22"/>
          <w:lang w:eastAsia="pl-PL"/>
        </w:rPr>
        <w:t xml:space="preserve"> </w:t>
      </w:r>
    </w:p>
    <w:p w14:paraId="741C381A" w14:textId="77777777" w:rsidR="004822D6" w:rsidRPr="00E57521" w:rsidRDefault="004822D6" w:rsidP="00E57521">
      <w:pPr>
        <w:keepNext/>
        <w:keepLines/>
        <w:jc w:val="both"/>
        <w:outlineLvl w:val="2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79A12691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9" w:name="_Hlk18656335"/>
      <w:bookmarkEnd w:id="6"/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787879E9" w14:textId="18302E9A" w:rsidR="00DC5345" w:rsidRPr="00E57521" w:rsidRDefault="00DC5345" w:rsidP="00E57521">
      <w:pPr>
        <w:pStyle w:val="PKA-tekstcigy"/>
        <w:spacing w:before="0" w:line="240" w:lineRule="auto"/>
        <w:jc w:val="both"/>
        <w:rPr>
          <w:rFonts w:cs="Calibri"/>
          <w:szCs w:val="22"/>
        </w:rPr>
      </w:pPr>
      <w:r w:rsidRPr="00E57521">
        <w:rPr>
          <w:rFonts w:eastAsia="Calibri" w:cs="Calibri"/>
          <w:szCs w:val="22"/>
        </w:rPr>
        <w:t xml:space="preserve">Koncepcja i cele kształcenia realizowane </w:t>
      </w:r>
      <w:r w:rsidR="00101AA8">
        <w:rPr>
          <w:rFonts w:eastAsia="Calibri" w:cs="Calibri"/>
          <w:szCs w:val="22"/>
        </w:rPr>
        <w:t>na</w:t>
      </w:r>
      <w:r w:rsidRPr="00E57521">
        <w:rPr>
          <w:rFonts w:eastAsia="Calibri" w:cs="Calibri"/>
          <w:szCs w:val="22"/>
        </w:rPr>
        <w:t xml:space="preserve"> Uniwersytecie Gdańskim na kierunku gospodarka wodna i ochrona zasobów wód wynikają z istniejącej misji i strategii przyjętych przez Uczelnię. Mieszczą się one w dyscyplinie, do której kierunek jest przyporządkowany, uwzględniając postęp w obszarach działalności zawodowej/gospodarczej właściwych dla kierunku. Kształcenie na kierunku gospodarka wodna i ochrona zasobów wód jest silnie zorientowane na potrzeby otoczenia społeczno-gospodarczego województw północnej Polski i zawodowego rynku pracy w tym regionie. Koncepcja i cele kształcenia oraz zakładane efekty uczenia się zostały wypracowane we współpracy zarówno z interesariuszami wewnętrznymi jak i liczną grupą liczną grupą interesariuszy zewnętrznych. Efekty uczenia się wizytowanego kierunku w</w:t>
      </w:r>
      <w:r w:rsidR="00101AA8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>pełni odpowiadają celom i koncepcji kształcenia oraz jego praktycznemu profilowi. Wypełniają one charakterystyki drugiego stopnia PRK dla kwalifikacji uzyskiwanych na</w:t>
      </w:r>
      <w:r w:rsidR="00E57521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>poziomie studiów licencjackich. Kierunek został przyporządkowany do dyscypliny nauki o</w:t>
      </w:r>
      <w:r w:rsidR="00E57521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 xml:space="preserve">Ziemi i środowisku. Kierunkowe efekty </w:t>
      </w:r>
      <w:r w:rsidR="00101AA8">
        <w:rPr>
          <w:rFonts w:eastAsia="Calibri" w:cs="Calibri"/>
          <w:szCs w:val="22"/>
        </w:rPr>
        <w:t>uczenia się</w:t>
      </w:r>
      <w:r w:rsidR="00101AA8" w:rsidRPr="00E57521">
        <w:rPr>
          <w:rFonts w:eastAsia="Calibri" w:cs="Calibri"/>
          <w:szCs w:val="22"/>
        </w:rPr>
        <w:t xml:space="preserve"> </w:t>
      </w:r>
      <w:r w:rsidRPr="00E57521">
        <w:rPr>
          <w:rFonts w:eastAsia="Calibri" w:cs="Calibri"/>
          <w:szCs w:val="22"/>
        </w:rPr>
        <w:t>determinują jego specyfikę, przy uwzględnieniu aktualnego stanu wiedzy i w tej dyscyplinie oraz praktyki zawodowego rynku pracy związanego z gospodarką wodn</w:t>
      </w:r>
      <w:r w:rsidR="00101AA8">
        <w:rPr>
          <w:rFonts w:eastAsia="Calibri" w:cs="Calibri"/>
          <w:szCs w:val="22"/>
        </w:rPr>
        <w:t>ą</w:t>
      </w:r>
      <w:r w:rsidRPr="00E57521">
        <w:rPr>
          <w:rFonts w:eastAsia="Calibri" w:cs="Calibri"/>
          <w:szCs w:val="22"/>
        </w:rPr>
        <w:t xml:space="preserve"> i ochron</w:t>
      </w:r>
      <w:r w:rsidR="00101AA8">
        <w:rPr>
          <w:rFonts w:eastAsia="Calibri" w:cs="Calibri"/>
          <w:szCs w:val="22"/>
        </w:rPr>
        <w:t>ą</w:t>
      </w:r>
      <w:r w:rsidRPr="00E57521">
        <w:rPr>
          <w:rFonts w:eastAsia="Calibri" w:cs="Calibri"/>
          <w:szCs w:val="22"/>
        </w:rPr>
        <w:t xml:space="preserve"> zasobów wód. Zgodnie z profilem praktycznym w efektach uczenia się uwzględniono umiejętności praktyczne w tym komunikowania się w języku obcym i odpowiednie kompetencje społeczne. Zarówno efekty uczenia się kierunkowe jak i dla zajęć zostały sformułowane w sposób jasny i zrozumiały, co umożliwiło stworzenie systemu ich weryfikacji.</w:t>
      </w:r>
    </w:p>
    <w:p w14:paraId="0DFA5D29" w14:textId="77777777" w:rsidR="004F1E41" w:rsidRPr="00E57521" w:rsidRDefault="004F1E41" w:rsidP="00E57521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CA657D0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518C206F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 xml:space="preserve">Treści programowe są adekwatne do kierunku studiów i zgodne z efektami uczenia się oraz uwzględniają wiedzę i jej zastosowania w zakresie dyscypliny, do której kierunek jest przyporządkowany, normy i zasady, a także aktualny stan praktyk i w obszarach działalności zawodowej/gospodarczej oraz zawodowego rynku pracy właściwych dla kierunku. Treści te są specyficzne dla poszczególnych zajęć i charakteryzuje je kompleksowość umożliwiająca studentom osiągnięcie wszystkich efektów uczenia się. </w:t>
      </w:r>
    </w:p>
    <w:p w14:paraId="07C51905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Czas trwania studiów, oszacowany nakład pracy niezbędny do ukończenia studiów, jak również do osiągnięcia efektów uczenia się przypisanych do zajęć są poprawnie oszacowane i zapewniają osiągnięcie przez studentów efektów uczenia się. Spełnione są wszystkie wymagania odnośnie do planu studiów w zakresie koniecznego udziału poszczególnych grup zajęć, a dobór form i sekwencja zajęć, jak również proporcje liczby godzin zapewniają osiągnięcie przez studentów efektów uczenia się.</w:t>
      </w:r>
    </w:p>
    <w:p w14:paraId="2F5D8E5D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Liczba godzin zajęć wymagających bezpośredniego udziału nauczycieli akademickich lub innych osób prowadzących zajęcia oraz studentów określona w programie studiów łącznie oraz dla poszczególnych zajęć jest zgodna z wymaganiami zapewniając osiągnięcie przez studentów efektów uczenia się.</w:t>
      </w:r>
    </w:p>
    <w:p w14:paraId="332B4C72" w14:textId="285F2AAF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Sekwencja zajęć, dobór form zajęć i proporcje liczby godzin zajęć realizowanych w</w:t>
      </w:r>
      <w:r w:rsidR="00101AA8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 xml:space="preserve">poszczególnych formach zapewniają osiągnięcie przez studentów efektów uczenia się. Spełniony został warunek co najmniej 30% punktów ECTS uzyskiwanych w ramach zajęć do wyboru oraz warunek wymaganej liczby punktów ECTS w ramach zajęć kształtujących umiejętności praktyczne. W programie studiów, w odpowiednim wymiarze, przewidziano zajęcia poświęcone kształceniu w zakresie języka obcego oraz zajęcia z dziedziny nauk społecznych. W regularnym programie studiów nie przewidziano zajęć prowadzonych </w:t>
      </w:r>
      <w:r w:rsidRPr="00E57521">
        <w:rPr>
          <w:rFonts w:eastAsia="Calibri" w:cs="Calibri"/>
          <w:szCs w:val="22"/>
        </w:rPr>
        <w:lastRenderedPageBreak/>
        <w:t>z</w:t>
      </w:r>
      <w:r w:rsidR="00101AA8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>wykorzystaniem metod i technik kształcenia na odległość, chociaż ze względu na obostrzenia związane z epidemią COVID-19 obecnie wszystkie zajęcia prowadzone są w tej formie.</w:t>
      </w:r>
    </w:p>
    <w:p w14:paraId="1F206FE8" w14:textId="65F54753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Stosowane są różnorodne, właściwie dobrane metody kształcenia służące prowadzące do osiągnięcia wszystkich efektów uczenia się. Metody te są odpowiednio dobrane do zajęć z</w:t>
      </w:r>
      <w:r w:rsidR="00101AA8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 xml:space="preserve">uwzględnieniem najnowszych osiągnięć dydaktyki akademickiej. Poprzez wykonywanie przez studentów czynności praktycznych, ćwiczeń laboratoryjnych i terenowych przyjęte metody stymulują studentów do samodzielności i pełnienia aktywnej roli w procesie uczenia się oraz zapewniają przygotowanie do działalności zawodowej w obszarach rynku pracy właściwych dla gospodarki wodnej i ochrony zasobów wód. Metody przyjęte w nauczaniu języka obcego zapewniają uzyskanie kompetencji na poziomie B2. Poprzez indywidualne podejście do studentów z niepełnosprawnością zapewniony jest odpowiedni do potrzeb tych osób dobór metod kształcenia. Możliwe jest realizowanie indywidualnych ścieżek kształcenia przez studentów w ramach indywidualnej organizacji studiów. W regularnym programie studiów nie przewiduje się kształtowania umiejętności praktycznych przy pomocy metod i technik kształcenia na odległość. </w:t>
      </w:r>
    </w:p>
    <w:p w14:paraId="3A71DD7D" w14:textId="0DBE2D7F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Praktyki zawodowe i ich organizacja są mocną stroną ocenianego kierunku. Efekty uczenia się zakładane dla praktyk są zgodne z efektami uczenia się przypisanymi do pozostałych zajęć, a</w:t>
      </w:r>
      <w:r w:rsidR="00101AA8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 xml:space="preserve">treści programowe określone dla praktyk i ich umiejscowienie w planie studiów zapewniają osiągnięcie przez studentów efektów uczenia się. Sylabus dla praktyk zawodowych przygotowany został w sposób kompletny i poprawny. Ujęto w nim wszystkie niezbędne informacje, jak: nazwa, czas trwania praktyk, forma zajęć, opisy, cele, treści kształcenia. Do sylabusów przyporządkowano również właściwe efekty uczenia się w obszarze wiedzy, umiejętności i kompetencji społecznych. W obecnie obowiązującym programie poprawnie skorygowano zawyżone przyjęcie 30 pkt ECTS za realizację 450 godzin dla cykli kształcenia do roku akademickiego 2018/19. Stopień osiągnięcia efektów uczenia się może być skutecznie sprawdzony na podstawie dokumentacji przebiegu praktyk. Ocena osiągnięcia efektów uczenia się dokonywana przez opiekuna praktyk ma charakter kompleksowy i odnosi się do każdego z zakładanych efektów uczenia się. Prawidłową realizację praktyk zapewniają kompetencje i doświadczenie oraz kwalifikacje opiekunów praktyk zarówno ze strony uczelni, jak i zakładów pracy. Osiągnięcie efektów uczenia się oraz prawidłową realizacje praktyk gwarantuje odpowiedni dobór miejsc praktyk spośród podmiotów zapewniających odpowiednią infrastrukturę i wyposażenie. Organizacja praktyk i nadzór nad ich realizacją ma charakter systemowy i odbywa się w oparciu o formalnie przyjęte zasady. Istnieją przejrzyste kryteria wyboru miejsc praktyk spośród instytucji proponowanych przez Uczelnię bądź na drodze samodzielnego wskazania. </w:t>
      </w:r>
    </w:p>
    <w:p w14:paraId="3D4AE5D1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Theme="minorEastAsia" w:cs="Calibri"/>
          <w:szCs w:val="22"/>
        </w:rPr>
        <w:t>Program praktyk, osoby sprawujące nadzór nad praktykami z ramienia uczelni oraz opiekunowie praktyk, realizacja praktyk, efekty uczenia się osiągane na praktykach podlegają systematycznej ocenie. </w:t>
      </w:r>
    </w:p>
    <w:p w14:paraId="7D5F61DB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bCs/>
          <w:szCs w:val="22"/>
        </w:rPr>
      </w:pPr>
      <w:r w:rsidRPr="00E57521">
        <w:rPr>
          <w:rFonts w:eastAsia="Calibri" w:cs="Calibri"/>
          <w:bCs/>
          <w:szCs w:val="22"/>
        </w:rPr>
        <w:t>Organizacja procesu dydaktycznego, w tym rozplanowanie zajęć jest prawidłowe, uwzględnia czas na pracę własną studentów, a także umożliwia ocenę i dostarczenie studentom informacji o uzyskanych efektach.</w:t>
      </w:r>
    </w:p>
    <w:p w14:paraId="60C89B50" w14:textId="65C7A175" w:rsidR="00DA0804" w:rsidRPr="00E57521" w:rsidRDefault="00DC5345" w:rsidP="00E57521">
      <w:pPr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eastAsia="Calibri" w:hAnsi="Calibri" w:cs="Calibri"/>
          <w:sz w:val="22"/>
          <w:szCs w:val="22"/>
        </w:rPr>
        <w:t>Reasumując realizacja programu studiów w tym treści programowe, harmonogram realizacji programu studiów, formy i organizacja zajęć, metody kształcenia, praktyki zawodowe oraz organizacja procesu nauczania i uczenia się są prawidłowe i umożliwiają studentom osiągnięcie wszystkich zakładanych efektów uczenia się.</w:t>
      </w:r>
      <w:r w:rsidRPr="00E57521">
        <w:rPr>
          <w:rFonts w:ascii="Calibri" w:hAnsi="Calibri" w:cs="Calibri"/>
          <w:sz w:val="22"/>
          <w:szCs w:val="22"/>
        </w:rPr>
        <w:t xml:space="preserve"> </w:t>
      </w:r>
    </w:p>
    <w:p w14:paraId="0DCFC1FF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520A08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0B55D7B7" w14:textId="23BBF379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cs="Calibri"/>
          <w:szCs w:val="22"/>
        </w:rPr>
        <w:t>St</w:t>
      </w:r>
      <w:r w:rsidRPr="00E57521">
        <w:rPr>
          <w:rFonts w:eastAsia="Calibri" w:cs="Calibri"/>
          <w:szCs w:val="22"/>
        </w:rPr>
        <w:t xml:space="preserve">osowane zasady i procedury rekrutacji oraz kryteria uwzględniane w postępowaniu kwalifikacyjnym są przejrzyste i selektywne oraz umożliwiają właściwy dobór kandydatów. Wszyscy kandydaci mają zapewnione równe szanse podjęcia studiów. Zostały formalnie ustalone zasady uznawania efektów i okresów uczenia się oraz kwalifikacji uzyskanych </w:t>
      </w:r>
      <w:r w:rsidRPr="00E57521">
        <w:rPr>
          <w:rFonts w:eastAsia="Calibri" w:cs="Calibri"/>
          <w:szCs w:val="22"/>
        </w:rPr>
        <w:lastRenderedPageBreak/>
        <w:t>w</w:t>
      </w:r>
      <w:r w:rsidR="00E57521"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>szkolnictwie wyższym, a także potwierdzania efektów uczenia się uzyskanych w procesie uczenia się poza systemem studiów. Zasady te zapewniają możliwość identyfikacji efektów uczenia się uzyskanych poza systemem studiów i na innych uczelniach/kierunkach oraz oceny ich adekwatności w zakresie odpowiadającym efektom uczenia się w programie studiów. Właściwie funkcjonują zasady i procedury dyplomowania zapewniając potwierdzenie osiągnięcia przez studentów efektów uczenia się na zakończenie studiów.</w:t>
      </w:r>
    </w:p>
    <w:p w14:paraId="77413449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Poprawnie przyjęto ogólne zasady weryfikacji i oceny osiągnięcia przez studentów efektów uczenia się oraz postępów w procesie uczenia się. Umożliwiają one równe traktowanie studentów w procesie weryfikacji oceniania efektów uczenia się, w tym możliwość adaptowania metod oraz organizacji sprawdzania efektów uczenia się do potrzeb studentów z niepełnosprawnością, zapewniają bezstronność, rzetelność i przejrzystość procesu weryfikacji, jak również wiarygodność i porównywalność ocen, pozwalają na przekazanie informacji zwrotnej. W przypadku wystąpienia sytuacji konfliktowych studenci mają możliwość zgłaszania ewentualnych zastrzeżeń.</w:t>
      </w:r>
    </w:p>
    <w:p w14:paraId="1B7FC630" w14:textId="77777777" w:rsidR="00DC5345" w:rsidRPr="00E57521" w:rsidRDefault="00DC5345" w:rsidP="00E57521">
      <w:pPr>
        <w:pStyle w:val="PKA-tekstcigy"/>
        <w:spacing w:before="0" w:line="240" w:lineRule="auto"/>
        <w:jc w:val="both"/>
        <w:rPr>
          <w:rFonts w:eastAsia="Calibri" w:cs="Calibri"/>
          <w:szCs w:val="22"/>
        </w:rPr>
      </w:pPr>
      <w:r w:rsidRPr="00E57521">
        <w:rPr>
          <w:rFonts w:eastAsia="Calibri" w:cs="Calibri"/>
          <w:szCs w:val="22"/>
        </w:rPr>
        <w:t>Metody sprawdzenia i oceniania osiągnięcia przez studentów efektów uczenia się są odpowiednio dostosowane do treści i celów przedmiotów, pozwalają na skuteczną weryfikację stopnia osiągnięcia wszystkich efektów uczenia się, umożliwiają sprawdzenie opanowania umiejętności praktycznych i przygotowania do prowadzenia działalności zawodowej oraz sprawdzenie i ocenę opanowania języka obcego co najmniej na poziomie B2. W wymuszonej przez sytuację epidemiologiczną konieczności prowadzenia zajęć przy pomocy technik zdalnych weryfikacja osiągnięcia przez studentów efektów uczenia się odbywa się przez bieżącą kontrolę postępów w nauce, chociaż regularny program studiów nie przewiduje zajęć tego typu.</w:t>
      </w:r>
    </w:p>
    <w:p w14:paraId="58B55994" w14:textId="2492DF29" w:rsidR="00DA0804" w:rsidRPr="00E57521" w:rsidRDefault="00DC5345" w:rsidP="00E5752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eastAsia="Calibri" w:hAnsi="Calibri" w:cs="Calibri"/>
          <w:sz w:val="22"/>
          <w:szCs w:val="22"/>
        </w:rPr>
        <w:t>Efekty uczenia się osiągnięte przez studentów są uwidocznione w postaci prac etapowych i egzaminacyjnych oraz prac dyplomowych. Dokonany przegląd i ocena wybranych prac etapowych, egzaminacyjnych, jak i prac dyplomowych studentów, potwierdzają osiągnięcie przez studentów określonych efektów uczenia się, a forma, tematyka i metodyka oraz zakres prac oraz wymagania odpowiadają efektom uczenia się oraz poziomowi i profilowi kształcenia. Słabszą stroną potwierdzania osiągnięcia przez studentów efektów uczenia się są ich publikacje fachowe i inne osiągnięcia w obszarze działalności zawodowej.</w:t>
      </w:r>
    </w:p>
    <w:p w14:paraId="77D9AD73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01EF1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08715E86" w14:textId="53E41BA8" w:rsidR="00DC5345" w:rsidRPr="00E57521" w:rsidRDefault="00DC5345" w:rsidP="00E57521">
      <w:pPr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eastAsia="Calibri" w:hAnsi="Calibri" w:cs="Calibri"/>
          <w:sz w:val="22"/>
          <w:szCs w:val="22"/>
        </w:rPr>
        <w:t>Nauczyciele akademiccy prowadzący zajęcia na kierunku gospodarka wodna i ochrona zasobów wód są związani z dyscypliną, do której kierunek jest przyporządkowany. Posiadają aktualny i znaczny dorobek naukowy oraz doświadczenie praktyczne w zakresie tej dyscypliny umożliwiające prawidłową realizację zajęć oraz nabywanie przez studentów umiejętności przywidzianych programem studiów i efektami uczenia się. Dorobek ten jest progresywnie wzbogacany, szczególnie w ostatnich latach. Liczebność kadry w stosunku do liczby studentów umożliwia prawidłową realizację zajęć. Przydział zajęć oraz obciążenie godzinowe poszczególnych nauczycieli akademickich mieszczą się w pożądanym zakresie i są zgodne z</w:t>
      </w:r>
      <w:r w:rsidR="00346945">
        <w:rPr>
          <w:rFonts w:ascii="Calibri" w:eastAsia="Calibri" w:hAnsi="Calibri" w:cs="Calibri"/>
          <w:sz w:val="22"/>
          <w:szCs w:val="22"/>
        </w:rPr>
        <w:t> </w:t>
      </w:r>
      <w:r w:rsidRPr="00E57521">
        <w:rPr>
          <w:rFonts w:ascii="Calibri" w:eastAsia="Calibri" w:hAnsi="Calibri" w:cs="Calibri"/>
          <w:sz w:val="22"/>
          <w:szCs w:val="22"/>
        </w:rPr>
        <w:t>wymaganiami. Nauczyciele akademiccy i inne osoby prowadzące zajęcia na ocenianym kierunku są przygotowani do ich realizacji z wykorzystaniem metod i technik kształcenia na odległość, a proces kształcenia zdalnego jest kontrolowany i wspierany przez uczelnię. Nauczyciele akademiccy są regularnie oceniani przez studentów oraz innych nauczycieli, zarówno poprzez ankietowanie (studenci), jak i hospitacje zajęć. Ocena bieżącej aktywności nauczycieli akademickich obejmuje ocenę ich dorobku naukowego, dydaktycznego i</w:t>
      </w:r>
      <w:r w:rsidR="00E57521">
        <w:rPr>
          <w:rFonts w:ascii="Calibri" w:eastAsia="Calibri" w:hAnsi="Calibri" w:cs="Calibri"/>
          <w:sz w:val="22"/>
          <w:szCs w:val="22"/>
        </w:rPr>
        <w:t> </w:t>
      </w:r>
      <w:r w:rsidRPr="00E57521">
        <w:rPr>
          <w:rFonts w:ascii="Calibri" w:eastAsia="Calibri" w:hAnsi="Calibri" w:cs="Calibri"/>
          <w:sz w:val="22"/>
          <w:szCs w:val="22"/>
        </w:rPr>
        <w:t>organizacyjnego, wyniki hospitacji zajęć oraz ocenę przez studentów. Wyniki oceny są wykorzystywane do doskonalenia kadry, planowania indywidualnych ścieżek rozwojowych nauczycieli akademickich oraz ich motywacji. Polityka kadrowa prowadzona na U</w:t>
      </w:r>
      <w:r w:rsidR="00E57521">
        <w:rPr>
          <w:rFonts w:ascii="Calibri" w:eastAsia="Calibri" w:hAnsi="Calibri" w:cs="Calibri"/>
          <w:sz w:val="22"/>
          <w:szCs w:val="22"/>
        </w:rPr>
        <w:t xml:space="preserve">niwersytecie </w:t>
      </w:r>
      <w:r w:rsidRPr="00E57521">
        <w:rPr>
          <w:rFonts w:ascii="Calibri" w:eastAsia="Calibri" w:hAnsi="Calibri" w:cs="Calibri"/>
          <w:sz w:val="22"/>
          <w:szCs w:val="22"/>
        </w:rPr>
        <w:t>G</w:t>
      </w:r>
      <w:r w:rsidR="00E57521">
        <w:rPr>
          <w:rFonts w:ascii="Calibri" w:eastAsia="Calibri" w:hAnsi="Calibri" w:cs="Calibri"/>
          <w:sz w:val="22"/>
          <w:szCs w:val="22"/>
        </w:rPr>
        <w:t>dańskim</w:t>
      </w:r>
      <w:r w:rsidRPr="00E57521">
        <w:rPr>
          <w:rFonts w:ascii="Calibri" w:eastAsia="Calibri" w:hAnsi="Calibri" w:cs="Calibri"/>
          <w:sz w:val="22"/>
          <w:szCs w:val="22"/>
        </w:rPr>
        <w:t xml:space="preserve"> stwarza kadrze dobre warunki rozwojowe poprzez rożne formy stymulacji aktywności zawodowej, uwzględnia zasady rozwiązywania konfliktów. Dokumenty uczelniane </w:t>
      </w:r>
      <w:r w:rsidRPr="00E57521">
        <w:rPr>
          <w:rFonts w:ascii="Calibri" w:eastAsia="Calibri" w:hAnsi="Calibri" w:cs="Calibri"/>
          <w:sz w:val="22"/>
          <w:szCs w:val="22"/>
        </w:rPr>
        <w:lastRenderedPageBreak/>
        <w:t>określają jednoznacznie sposoby reagowania na przypadki zagrożenia, naruszenia bezpieczeństwa lub dyskryminacji i przemocy wobec członków kadry prowadzącej kształcenie oraz formy pomocy ofiarom.</w:t>
      </w:r>
      <w:r w:rsidRPr="00E57521">
        <w:rPr>
          <w:rFonts w:ascii="Calibri" w:hAnsi="Calibri" w:cs="Calibri"/>
          <w:sz w:val="22"/>
          <w:szCs w:val="22"/>
        </w:rPr>
        <w:t xml:space="preserve"> </w:t>
      </w:r>
    </w:p>
    <w:p w14:paraId="747B4757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6CBA95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204E611E" w14:textId="7105D08C" w:rsidR="00DC5345" w:rsidRPr="00E57521" w:rsidRDefault="00DC5345" w:rsidP="00E57521">
      <w:pPr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hAnsi="Calibri" w:cs="Calibri"/>
          <w:sz w:val="22"/>
          <w:szCs w:val="22"/>
        </w:rPr>
        <w:t>Infrastruktura dydaktyczna, naukowa i biblioteczna wykorzystywana przez oceniany kierunek spełnia kryteria niezbędne do prawidłowego przebiegu procesu kształcenia. Sale, pracownie, laboratoria itp. wraz z ich wyposażeniem są na wysokim poziomie i adekwatne do rzeczywistych warunków przyszłej pracy zawodowej związanej z kierunkiem. Infrastruktura informatyczna łącznie ze stroną techniczną (wyposażenie pomieszczeń w środki audiowizualne, stan sprzętu) i specjalistyczne oprogramowanie są nowoczesne i umożliwiają prawidłowy przebieg zróżnicowanych zajęć – wykładów i ćwiczeń – z wykorzystaniem zaawansowanych technik informacyjno-komunikacyjnych. W kategoriach ilościowych, infrastruktura dostosowana jest do liczby studentów oraz liczebności grup. Biblioteki wraz z</w:t>
      </w:r>
      <w:r w:rsidR="00346945">
        <w:rPr>
          <w:rFonts w:ascii="Calibri" w:hAnsi="Calibri" w:cs="Calibri"/>
          <w:sz w:val="22"/>
          <w:szCs w:val="22"/>
        </w:rPr>
        <w:t> </w:t>
      </w:r>
      <w:r w:rsidRPr="00E57521">
        <w:rPr>
          <w:rFonts w:ascii="Calibri" w:hAnsi="Calibri" w:cs="Calibri"/>
          <w:sz w:val="22"/>
          <w:szCs w:val="22"/>
        </w:rPr>
        <w:t>ich zasobami bibliograficznymi oraz wyposażeniem technicznym, umożliwiają studentom realizacje rożnych form kształcenia samodzielnego, zapewniają również łatwy dostęp do źródeł informacji naukowej i naukowo-dydaktycznej zarówno w formie tradycyjnej, jak i</w:t>
      </w:r>
      <w:r w:rsidR="00E57521">
        <w:rPr>
          <w:rFonts w:ascii="Calibri" w:hAnsi="Calibri" w:cs="Calibri"/>
          <w:sz w:val="22"/>
          <w:szCs w:val="22"/>
        </w:rPr>
        <w:t> </w:t>
      </w:r>
      <w:r w:rsidRPr="00E57521">
        <w:rPr>
          <w:rFonts w:ascii="Calibri" w:hAnsi="Calibri" w:cs="Calibri"/>
          <w:sz w:val="22"/>
          <w:szCs w:val="22"/>
        </w:rPr>
        <w:t>cyfrowej. W celu wykonywania zadań i realizacji projektów, infrastruktura informatyczna zapewnia studentom dostęp do Internetu oraz do laboratoriów komputerowych i</w:t>
      </w:r>
      <w:r w:rsidR="00E57521">
        <w:rPr>
          <w:rFonts w:ascii="Calibri" w:hAnsi="Calibri" w:cs="Calibri"/>
          <w:sz w:val="22"/>
          <w:szCs w:val="22"/>
        </w:rPr>
        <w:t> </w:t>
      </w:r>
      <w:r w:rsidRPr="00E57521">
        <w:rPr>
          <w:rFonts w:ascii="Calibri" w:hAnsi="Calibri" w:cs="Calibri"/>
          <w:sz w:val="22"/>
          <w:szCs w:val="22"/>
        </w:rPr>
        <w:t xml:space="preserve">specjalistycznego oprogramowania poza godzinami zajęć. Zasoby biblioteczne, informacyjne oraz edukacyjne są zgodne z potrzebami procesu nauczania. Zapewnione jest dostosowanie infrastruktury dydaktycznej, naukowej i bibliotecznej do potrzeb osób z niepełnosprawnością. Jednostka na bieżąco monitoruje stan infrastruktury (okresowe przeglądy), reaguje na wzrost zapotrzebowania czy konieczność infrastrukturalnych zmian oraz stopniowo realizuję programy rozwojowe w zakresie całej infrastruktury oraz jej poszczególnych elementów. </w:t>
      </w:r>
    </w:p>
    <w:p w14:paraId="3C141463" w14:textId="77777777" w:rsidR="008F0E6C" w:rsidRPr="00E57521" w:rsidRDefault="008F0E6C" w:rsidP="00E57521">
      <w:p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E85AE8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14:paraId="2030E5C3" w14:textId="258FAE83" w:rsidR="00E57521" w:rsidRPr="00E57521" w:rsidRDefault="00E57521" w:rsidP="00E57521">
      <w:pPr>
        <w:pStyle w:val="PKA-tekstcigy"/>
        <w:spacing w:before="0" w:line="240" w:lineRule="auto"/>
        <w:jc w:val="both"/>
        <w:rPr>
          <w:rFonts w:eastAsia="Yu Mincho" w:cs="Calibri"/>
          <w:szCs w:val="22"/>
        </w:rPr>
      </w:pPr>
      <w:r w:rsidRPr="00E57521">
        <w:rPr>
          <w:rFonts w:eastAsia="Yu Mincho" w:cs="Calibri"/>
          <w:szCs w:val="22"/>
        </w:rPr>
        <w:t>Prowadzona na kierunku gospodarka wodna i ochrona zasobów wód współpraca z</w:t>
      </w:r>
      <w:r>
        <w:rPr>
          <w:rFonts w:eastAsia="Yu Mincho" w:cs="Calibri"/>
          <w:szCs w:val="22"/>
        </w:rPr>
        <w:t> </w:t>
      </w:r>
      <w:r w:rsidRPr="00E57521">
        <w:rPr>
          <w:rFonts w:eastAsia="Yu Mincho" w:cs="Calibri"/>
          <w:szCs w:val="22"/>
        </w:rPr>
        <w:t>instytucjami otoczenia społeczno-gospodarczego, w tym z pracodawcami, ma charakter stały i przybiera zróżnicowane formy, np. organizacji praktyk oraz wizyt studyjnych, realizacji wdrożeniowych prac dyplomowych, udziału przedstawicieli otoczenia społeczno-gospodarczego w prowadzeniu zajęć lub weryfikacji efektów uczenia się.</w:t>
      </w:r>
    </w:p>
    <w:p w14:paraId="0EEB33B9" w14:textId="77777777" w:rsidR="00E57521" w:rsidRPr="00E57521" w:rsidRDefault="00E57521" w:rsidP="00E57521">
      <w:pPr>
        <w:pStyle w:val="PKA-tekstcigy"/>
        <w:spacing w:before="0" w:line="240" w:lineRule="auto"/>
        <w:jc w:val="both"/>
        <w:rPr>
          <w:rFonts w:eastAsia="Yu Mincho" w:cs="Calibri"/>
          <w:szCs w:val="22"/>
        </w:rPr>
      </w:pPr>
      <w:r w:rsidRPr="00E57521">
        <w:rPr>
          <w:rFonts w:eastAsia="Yu Mincho" w:cs="Calibri"/>
          <w:szCs w:val="22"/>
        </w:rPr>
        <w:t>Należy podkreślić, że rodzaj, zakres i zasięg działalności instytucji otoczenia społeczno-gospodarczego, w tym pracodawców, z którymi kierunek współpracuje w zakresie projektowania i realizacji programu studiów jest zgodny z koncepcją i celami kształcenia oraz wynikającymi z nich obszarami działalności zawodowej oraz krajowego i regionalnego rynku pracy.</w:t>
      </w:r>
    </w:p>
    <w:p w14:paraId="6003A6C0" w14:textId="77777777" w:rsidR="005F7DEF" w:rsidRPr="00E57521" w:rsidRDefault="005F7DEF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DF2BE4" w14:textId="77777777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713DF8EE" w14:textId="0220BEE5" w:rsidR="00E57521" w:rsidRPr="00E57521" w:rsidRDefault="00E57521" w:rsidP="00E57521">
      <w:pPr>
        <w:pStyle w:val="PKA-tekstcigy"/>
        <w:spacing w:before="0" w:line="240" w:lineRule="auto"/>
        <w:jc w:val="both"/>
        <w:rPr>
          <w:rFonts w:cs="Calibri"/>
          <w:b/>
          <w:bCs/>
          <w:szCs w:val="22"/>
        </w:rPr>
      </w:pPr>
      <w:r w:rsidRPr="00E57521">
        <w:rPr>
          <w:rFonts w:cs="Calibri"/>
          <w:szCs w:val="22"/>
        </w:rPr>
        <w:t>Jednostka w ramach ocenianego kierunku</w:t>
      </w:r>
      <w:r w:rsidRPr="00E57521">
        <w:rPr>
          <w:rFonts w:eastAsia="Calibri" w:cs="Calibri"/>
          <w:szCs w:val="22"/>
        </w:rPr>
        <w:t xml:space="preserve"> dba o umiędzynarodowienie</w:t>
      </w:r>
      <w:r w:rsidRPr="00E57521">
        <w:rPr>
          <w:rFonts w:cs="Calibri"/>
          <w:szCs w:val="22"/>
        </w:rPr>
        <w:t xml:space="preserve"> procesu kształcenia. Jego rodzaj, zakres i zasięg są zgodne z koncepcją i celami kształcenia. Na U</w:t>
      </w:r>
      <w:r>
        <w:rPr>
          <w:rFonts w:cs="Calibri"/>
          <w:szCs w:val="22"/>
        </w:rPr>
        <w:t>niwersytecie Gdańskim</w:t>
      </w:r>
      <w:r w:rsidRPr="00E57521">
        <w:rPr>
          <w:rFonts w:cs="Calibri"/>
          <w:szCs w:val="22"/>
        </w:rPr>
        <w:t>, a także w</w:t>
      </w:r>
      <w:r>
        <w:rPr>
          <w:rFonts w:cs="Calibri"/>
          <w:szCs w:val="22"/>
        </w:rPr>
        <w:t> </w:t>
      </w:r>
      <w:r w:rsidRPr="00E57521">
        <w:rPr>
          <w:rFonts w:cs="Calibri"/>
          <w:szCs w:val="22"/>
        </w:rPr>
        <w:t>ramach ocenianego kierunku stworzono dobre możliwości dla aktywności nauczycieli akademickich i studentów na polu międzynarodowym w zakresie działań związanych z</w:t>
      </w:r>
      <w:r>
        <w:rPr>
          <w:rFonts w:cs="Calibri"/>
          <w:szCs w:val="22"/>
        </w:rPr>
        <w:t> </w:t>
      </w:r>
      <w:r w:rsidRPr="00E57521">
        <w:rPr>
          <w:rFonts w:cs="Calibri"/>
          <w:szCs w:val="22"/>
        </w:rPr>
        <w:t>kierunkiem. Kadra akademicka prowadząca zajęcia na kierunku gospodarka wodna i ochrona zasobów wód aktywnie uczestniczy w wymianie międzynarodowej oferowanej w ramach różnych programów.</w:t>
      </w:r>
      <w:r w:rsidRPr="00E57521">
        <w:rPr>
          <w:rFonts w:eastAsia="Calibri" w:cs="Calibri"/>
          <w:szCs w:val="22"/>
        </w:rPr>
        <w:t xml:space="preserve"> Podpisywane są nowe umowy w ramach programu ERASMUS+ (Islandia) oraz zwiększana jest pula przedmiotów w j. angielskim. Na ocenianym kierunku dokonywane są okresowe oceny stopnia </w:t>
      </w:r>
      <w:r w:rsidRPr="00E57521">
        <w:rPr>
          <w:rFonts w:eastAsia="Calibri" w:cs="Calibri"/>
          <w:szCs w:val="22"/>
        </w:rPr>
        <w:lastRenderedPageBreak/>
        <w:t>umiędzynarodowienia kształcenia, a ich wyniki są uwzględniane na bieżąco w realizowaniu i</w:t>
      </w:r>
      <w:r>
        <w:rPr>
          <w:rFonts w:eastAsia="Calibri" w:cs="Calibri"/>
          <w:szCs w:val="22"/>
        </w:rPr>
        <w:t> </w:t>
      </w:r>
      <w:r w:rsidRPr="00E57521">
        <w:rPr>
          <w:rFonts w:eastAsia="Calibri" w:cs="Calibri"/>
          <w:szCs w:val="22"/>
        </w:rPr>
        <w:t>planowaniu współpracy międzynarodowej i wymiany, w tym studenckiej.</w:t>
      </w:r>
    </w:p>
    <w:p w14:paraId="6BD395DB" w14:textId="77777777" w:rsidR="00AA4477" w:rsidRPr="00E57521" w:rsidRDefault="00AA447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9044F2" w14:textId="35DDF66E" w:rsidR="00B02047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0611F619" w14:textId="76774DA8" w:rsidR="00E57521" w:rsidRPr="00E57521" w:rsidRDefault="00E57521" w:rsidP="00E57521">
      <w:pPr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hAnsi="Calibri" w:cs="Calibri"/>
          <w:sz w:val="22"/>
          <w:szCs w:val="22"/>
        </w:rPr>
        <w:t>Wsparcie studentów jest prowadzone systematycznie i ma charakter kompleksowy oraz przybiera zróżnicowane formy. Kształcenie jest dostosowane do potrzeb różnych grup studentów m.in. studentów z niepełnosprawnościami. Uczelnia wspiera studentów w zakresie przygotowania do prowadzenia działalności zawodowej, a dodatkowo oferuje różnorodne formy aktywności dla studentów. Studenci mają dostęp do potrzebnych informacji poprzez stronę internetową Uczelni oraz Wydziału, a także poprzez tablicę ogłoszeń przy Dziekanacie Wydziału. Wsparcie studentów nie obejmuje działań w zakresie przeciwdziałania wszelkim formom dyskryminacji i przemocy, natomiast są opracowane procedury rozwiązywania ewentualnych incydentów. Uczelnia spełnia wszystkie ustawowe wymogi stypendialne, a</w:t>
      </w:r>
      <w:r>
        <w:rPr>
          <w:rFonts w:ascii="Calibri" w:hAnsi="Calibri" w:cs="Calibri"/>
          <w:sz w:val="22"/>
          <w:szCs w:val="22"/>
        </w:rPr>
        <w:t> </w:t>
      </w:r>
      <w:r w:rsidRPr="00E57521">
        <w:rPr>
          <w:rFonts w:ascii="Calibri" w:hAnsi="Calibri" w:cs="Calibri"/>
          <w:sz w:val="22"/>
          <w:szCs w:val="22"/>
        </w:rPr>
        <w:t>ponadto oferuje systemowe wsparcie dla studentów wybitnych. Proces zgłaszania przez studentów skarg i wniosków jest przejrzysty oraz skuteczny. Kompetencje kadry administracyjnej odpowiadają potrzebom studentów. Organizacje studenckie oraz Samorząd Studencki otrzymują od Uczelni niezbędne wsparcie materialne oraz pozamaterialne do</w:t>
      </w:r>
      <w:r>
        <w:rPr>
          <w:rFonts w:ascii="Calibri" w:hAnsi="Calibri" w:cs="Calibri"/>
          <w:sz w:val="22"/>
          <w:szCs w:val="22"/>
        </w:rPr>
        <w:t> </w:t>
      </w:r>
      <w:r w:rsidRPr="00E57521">
        <w:rPr>
          <w:rFonts w:ascii="Calibri" w:hAnsi="Calibri" w:cs="Calibri"/>
          <w:sz w:val="22"/>
          <w:szCs w:val="22"/>
        </w:rPr>
        <w:t>swojej działalności. System wsparcia poddawany jest okresowemu przeglądowi poprzez badania ankietowe, na podstawie których Uczelnia doskonali wsparcie studentów oraz jego formy.</w:t>
      </w:r>
    </w:p>
    <w:p w14:paraId="4FCF5015" w14:textId="77777777" w:rsidR="00221524" w:rsidRPr="00E57521" w:rsidRDefault="00221524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F490DD" w14:textId="1A826508" w:rsidR="005E3A79" w:rsidRPr="00E57521" w:rsidRDefault="00B02047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9. Publiczny dostęp do informacji o programie studiów, warunkach jego realizacji i osiąganych rezultatach </w:t>
      </w:r>
    </w:p>
    <w:p w14:paraId="478E2D33" w14:textId="77777777" w:rsidR="00E57521" w:rsidRPr="00E57521" w:rsidRDefault="00E57521" w:rsidP="00E57521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E57521">
        <w:rPr>
          <w:rFonts w:ascii="Calibri" w:eastAsia="Calibri" w:hAnsi="Calibri" w:cs="Calibri"/>
          <w:sz w:val="22"/>
          <w:szCs w:val="22"/>
        </w:rPr>
        <w:t>Uczelnia udostępnia kompleksowe, trafne i aktualne informacje na temat studiów na ocenianym kierunku. Informacje są publicznie dostępne dla jak najszerszego grona odbiorców, w sposób gwarantujący łatwość zapoznania się z nią, bez ograniczeń związanych z miejscem, czasem, używanym przez odbiorców sprzętem i oprogramowaniem, w sposób umożliwiający nieskrępowane przez nich korzystanie, także z wykorzystaniem mechanizmów umożliwiających pracę przez osoby z niepełnosprawnością (np. wzrokową i słuchową).</w:t>
      </w:r>
    </w:p>
    <w:p w14:paraId="3468C5C2" w14:textId="77777777" w:rsidR="00E57521" w:rsidRPr="00E57521" w:rsidRDefault="00E57521" w:rsidP="00E5752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eastAsia="Calibri" w:hAnsi="Calibri" w:cs="Calibri"/>
          <w:sz w:val="22"/>
          <w:szCs w:val="22"/>
        </w:rPr>
        <w:t>Uczelnia dba o weryfikację zarówno zakresu jak i aktualności informacji zamieszczanych na stronie. Dodatkowo uczelnia stara się dotrzeć do kandydatów oraz lokalnej społeczności poprzez wydawnictwa papierowe.</w:t>
      </w:r>
      <w:r w:rsidRPr="00E57521">
        <w:rPr>
          <w:rFonts w:ascii="Calibri" w:hAnsi="Calibri" w:cs="Calibri"/>
          <w:sz w:val="22"/>
          <w:szCs w:val="22"/>
        </w:rPr>
        <w:t xml:space="preserve"> </w:t>
      </w:r>
    </w:p>
    <w:p w14:paraId="7459F91D" w14:textId="77777777" w:rsidR="00DA0804" w:rsidRPr="00E57521" w:rsidRDefault="00DA0804" w:rsidP="00E57521">
      <w:pPr>
        <w:pStyle w:val="Akapitzlist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355102" w14:textId="77777777" w:rsidR="00221524" w:rsidRPr="00E57521" w:rsidRDefault="00221524" w:rsidP="00E57521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57521">
        <w:rPr>
          <w:rFonts w:ascii="Calibri" w:hAnsi="Calibri" w:cs="Calibr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14:paraId="6FB42B16" w14:textId="071E86DF" w:rsidR="00E57521" w:rsidRPr="00E57521" w:rsidRDefault="00E57521" w:rsidP="00E57521">
      <w:pPr>
        <w:jc w:val="both"/>
        <w:rPr>
          <w:rFonts w:ascii="Calibri" w:hAnsi="Calibri" w:cs="Calibri"/>
          <w:sz w:val="22"/>
          <w:szCs w:val="22"/>
        </w:rPr>
      </w:pPr>
      <w:r w:rsidRPr="00E5752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Nadzór merytoryczny, organizacyjny i administracyjny nad kierunkiem gospodarka wodna i</w:t>
      </w:r>
      <w:r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00E5752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ochrona zasobów wód jest ustalony i sprawowany według jasno określonych kompetencji.</w:t>
      </w:r>
      <w:r w:rsidRPr="00E57521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5752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Zostały formalnie przyjęte i są stosowane zasady projektowania, zatwierdzania i zmiany programu studiów. Oceny programu studiów, oparte o wyniki analizy danych i informacji, z</w:t>
      </w:r>
      <w:r w:rsidR="00346945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00E5752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udziałem interesariuszy wewnętrznych, w tym studentów oraz interesariuszy zewnętrznych, przekładają się na doskonalenie jakości kształcenia. Uczelnia konsultuje swój program z interesariuszami zewnętrznymi, co umożliwia jej podejmowanie rzeczywistych działań doskonalących w ramach kierunku gospodarka wodna i ochrona zasobów wód. </w:t>
      </w:r>
      <w:r w:rsidRPr="00E57521">
        <w:rPr>
          <w:rFonts w:ascii="Calibri" w:hAnsi="Calibri" w:cs="Calibr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14:paraId="3F938CA9" w14:textId="77777777" w:rsidR="00B02047" w:rsidRPr="00E57521" w:rsidRDefault="00B02047" w:rsidP="00E5752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881620" w14:textId="77777777" w:rsidR="00B02047" w:rsidRPr="00E57521" w:rsidRDefault="00B02047" w:rsidP="00E57521">
      <w:pPr>
        <w:pStyle w:val="Nagwek1"/>
        <w:numPr>
          <w:ilvl w:val="0"/>
          <w:numId w:val="8"/>
        </w:numPr>
        <w:spacing w:before="0"/>
        <w:ind w:left="0" w:hanging="284"/>
        <w:contextualSpacing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lang w:eastAsia="pl-PL"/>
        </w:rPr>
      </w:pPr>
      <w:bookmarkStart w:id="10" w:name="_Toc19092917"/>
      <w:bookmarkStart w:id="11" w:name="_Toc39562005"/>
      <w:bookmarkEnd w:id="9"/>
      <w:r w:rsidRPr="00E57521">
        <w:rPr>
          <w:rFonts w:ascii="Calibri" w:eastAsiaTheme="minorHAnsi" w:hAnsi="Calibri" w:cs="Calibri"/>
          <w:b/>
          <w:bCs/>
          <w:color w:val="auto"/>
          <w:sz w:val="22"/>
          <w:szCs w:val="22"/>
        </w:rPr>
        <w:lastRenderedPageBreak/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E5752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7521">
        <w:rPr>
          <w:rFonts w:ascii="Calibri" w:hAnsi="Calibri" w:cs="Calibri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10"/>
      <w:bookmarkEnd w:id="11"/>
    </w:p>
    <w:p w14:paraId="1F859623" w14:textId="65C4AE71" w:rsidR="00E57521" w:rsidRPr="00E57521" w:rsidRDefault="00E57521" w:rsidP="00E57521">
      <w:pPr>
        <w:jc w:val="both"/>
        <w:rPr>
          <w:rFonts w:ascii="Calibri" w:hAnsi="Calibri" w:cs="Calibri"/>
          <w:sz w:val="22"/>
          <w:szCs w:val="22"/>
        </w:rPr>
      </w:pPr>
      <w:bookmarkStart w:id="12" w:name="_Toc19092918"/>
      <w:bookmarkStart w:id="13" w:name="_Toc39562006"/>
      <w:r w:rsidRPr="00E57521">
        <w:rPr>
          <w:rFonts w:ascii="Calibri" w:hAnsi="Calibri" w:cs="Calibri"/>
          <w:sz w:val="22"/>
          <w:szCs w:val="22"/>
          <w:lang w:eastAsia="pl-PL"/>
        </w:rPr>
        <w:t>Nie dotyczy - obecna</w:t>
      </w:r>
      <w:r w:rsidRPr="00E57521">
        <w:rPr>
          <w:rFonts w:ascii="Calibri" w:hAnsi="Calibri" w:cs="Calibri"/>
          <w:sz w:val="22"/>
          <w:szCs w:val="22"/>
        </w:rPr>
        <w:t xml:space="preserve"> ocena jakości kształcenia na kierunku gospodarka wodna i ochrona zasobów wód jest realizowana przez PKA po raz pierwszy od utworzenia studiów w 2014 roku.</w:t>
      </w:r>
    </w:p>
    <w:p w14:paraId="64AB0539" w14:textId="77777777" w:rsidR="00AA4477" w:rsidRPr="00E57521" w:rsidRDefault="00AA4477" w:rsidP="00E57521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95C98E6" w14:textId="77777777" w:rsidR="00B02047" w:rsidRPr="00E57521" w:rsidRDefault="00B02047" w:rsidP="00E57521">
      <w:pPr>
        <w:pStyle w:val="Nagwek1"/>
        <w:numPr>
          <w:ilvl w:val="0"/>
          <w:numId w:val="8"/>
        </w:numPr>
        <w:spacing w:before="0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E57521">
        <w:rPr>
          <w:rFonts w:ascii="Calibri" w:hAnsi="Calibri" w:cs="Calibri"/>
          <w:b/>
          <w:color w:val="auto"/>
          <w:sz w:val="22"/>
          <w:szCs w:val="22"/>
          <w:lang w:eastAsia="pl-PL"/>
        </w:rPr>
        <w:t>Wniosek końcowy i propozycja oceny programowej</w:t>
      </w:r>
      <w:bookmarkEnd w:id="12"/>
      <w:bookmarkEnd w:id="13"/>
    </w:p>
    <w:p w14:paraId="7DACBA84" w14:textId="074EC263" w:rsidR="00E57521" w:rsidRPr="00E57521" w:rsidRDefault="00E57521" w:rsidP="00E57521">
      <w:pPr>
        <w:tabs>
          <w:tab w:val="left" w:pos="1418"/>
        </w:tabs>
        <w:adjustRightInd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 xml:space="preserve">Zespół nauk ścisłych i przyrodniczych stwierdza, że proces kształcenia realizowany </w:t>
      </w:r>
      <w:r w:rsidR="00346945">
        <w:rPr>
          <w:rFonts w:ascii="Calibri" w:eastAsia="Times New Roman" w:hAnsi="Calibri" w:cs="Calibri"/>
          <w:sz w:val="22"/>
          <w:szCs w:val="22"/>
          <w:lang w:eastAsia="pl-PL"/>
        </w:rPr>
        <w:t>na </w:t>
      </w: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>Uniwersytecie Gdańskim umożliwia studentom kierunku gospodarka wodna i ochrona zasobów wód osiągnięcie założonych efektów uczenia się dla studiów pierwszego stopnia o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>profilu praktycznym.</w:t>
      </w:r>
    </w:p>
    <w:p w14:paraId="667C538F" w14:textId="7383F93F" w:rsidR="00E57521" w:rsidRPr="00E57521" w:rsidRDefault="00E57521" w:rsidP="00E57521">
      <w:pPr>
        <w:tabs>
          <w:tab w:val="left" w:pos="1418"/>
        </w:tabs>
        <w:adjustRightInd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 xml:space="preserve">Wszystkie kryteria określone w rozporządzeniu Ministra Nauki i Szkolnictwa Wyższego z dnia 12 września 2018 r. w sprawie kryteriów oceny programowej (Dz. U. z 2018 r. poz. 1787), uszczegółowione w załączniku nr 2 </w:t>
      </w:r>
      <w:r w:rsidR="00346945">
        <w:rPr>
          <w:rFonts w:ascii="Calibri" w:eastAsia="Times New Roman" w:hAnsi="Calibri" w:cs="Calibri"/>
          <w:sz w:val="22"/>
          <w:szCs w:val="22"/>
          <w:lang w:eastAsia="pl-PL"/>
        </w:rPr>
        <w:t xml:space="preserve">do </w:t>
      </w: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 xml:space="preserve">Statutu Polskiej Komisji Akredytacyjnej, stanowiącym załącznik do uchwały </w:t>
      </w:r>
      <w:r w:rsidR="00346945">
        <w:rPr>
          <w:rFonts w:ascii="Calibri" w:eastAsia="Times New Roman" w:hAnsi="Calibri" w:cs="Calibri"/>
          <w:sz w:val="22"/>
          <w:szCs w:val="22"/>
          <w:lang w:eastAsia="pl-PL"/>
        </w:rPr>
        <w:t>n</w:t>
      </w:r>
      <w:r w:rsidRPr="00E57521">
        <w:rPr>
          <w:rFonts w:ascii="Calibri" w:eastAsia="Times New Roman" w:hAnsi="Calibri" w:cs="Calibri"/>
          <w:sz w:val="22"/>
          <w:szCs w:val="22"/>
          <w:lang w:eastAsia="pl-PL"/>
        </w:rPr>
        <w:t>r 4/2018 Polskiej Komisji Akredytacyjnej z dnia 13 grudnia 2018 r., zostały spełnione, co uzasadnia wydanie oceny pozytywnej.</w:t>
      </w:r>
    </w:p>
    <w:p w14:paraId="3FAD57C6" w14:textId="77777777" w:rsidR="00E57521" w:rsidRPr="00E57521" w:rsidRDefault="00E57521" w:rsidP="00E57521">
      <w:pPr>
        <w:tabs>
          <w:tab w:val="left" w:pos="1418"/>
        </w:tabs>
        <w:adjustRightInd w:val="0"/>
        <w:jc w:val="both"/>
        <w:rPr>
          <w:rFonts w:ascii="Calibri" w:hAnsi="Calibri" w:cs="Calibri"/>
          <w:sz w:val="22"/>
          <w:szCs w:val="22"/>
        </w:rPr>
      </w:pPr>
      <w:r w:rsidRPr="00E57521">
        <w:rPr>
          <w:rFonts w:ascii="Calibri" w:hAnsi="Calibri" w:cs="Calibri"/>
          <w:sz w:val="22"/>
          <w:szCs w:val="22"/>
        </w:rPr>
        <w:t>Propozycja oceny programowej: ocena pozytywna.</w:t>
      </w:r>
    </w:p>
    <w:p w14:paraId="7AF6AFB6" w14:textId="77777777" w:rsidR="00B02047" w:rsidRPr="00E57521" w:rsidRDefault="00B02047" w:rsidP="00E57521">
      <w:pPr>
        <w:pStyle w:val="Akapitzlist"/>
        <w:tabs>
          <w:tab w:val="left" w:pos="1418"/>
        </w:tabs>
        <w:adjustRightInd w:val="0"/>
        <w:ind w:left="0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4BFDFD6" w14:textId="77777777" w:rsidR="00B02047" w:rsidRPr="00E57521" w:rsidRDefault="00B02047" w:rsidP="00E57521">
      <w:pPr>
        <w:pStyle w:val="Nagwek1"/>
        <w:numPr>
          <w:ilvl w:val="0"/>
          <w:numId w:val="8"/>
        </w:numPr>
        <w:spacing w:before="0"/>
        <w:ind w:left="0" w:hanging="284"/>
        <w:contextualSpacing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lang w:eastAsia="pl-PL"/>
        </w:rPr>
      </w:pPr>
      <w:bookmarkStart w:id="14" w:name="_Toc19092919"/>
      <w:bookmarkStart w:id="15" w:name="_Toc39562007"/>
      <w:r w:rsidRPr="00E57521">
        <w:rPr>
          <w:rFonts w:ascii="Calibri" w:hAnsi="Calibri" w:cs="Calibri"/>
          <w:b/>
          <w:color w:val="auto"/>
          <w:sz w:val="22"/>
          <w:szCs w:val="22"/>
          <w:lang w:eastAsia="pl-PL"/>
        </w:rPr>
        <w:t>Rekomendacja przyznania uczelni Certyfikatu Doskonałości Kształcenia wraz z określeniem kategorii i uzasadnieniem</w:t>
      </w:r>
      <w:r w:rsidRPr="00E5752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7521">
        <w:rPr>
          <w:rFonts w:ascii="Calibri" w:hAnsi="Calibri" w:cs="Calibri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14"/>
      <w:bookmarkEnd w:id="15"/>
    </w:p>
    <w:p w14:paraId="2FFB055C" w14:textId="77777777" w:rsidR="00C96305" w:rsidRPr="00E57521" w:rsidRDefault="00C96305" w:rsidP="00E57521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E57521">
        <w:rPr>
          <w:rFonts w:ascii="Calibri" w:eastAsiaTheme="majorEastAsia" w:hAnsi="Calibri" w:cs="Calibri"/>
          <w:b/>
          <w:sz w:val="22"/>
          <w:szCs w:val="22"/>
          <w:lang w:eastAsia="pl-PL"/>
        </w:rPr>
        <w:t>--</w:t>
      </w:r>
      <w:r w:rsidR="00194E71" w:rsidRPr="00E57521">
        <w:rPr>
          <w:rFonts w:ascii="Calibri" w:eastAsiaTheme="majorEastAsia" w:hAnsi="Calibri" w:cs="Calibri"/>
          <w:b/>
          <w:sz w:val="22"/>
          <w:szCs w:val="22"/>
          <w:lang w:eastAsia="pl-PL"/>
        </w:rPr>
        <w:t>-</w:t>
      </w:r>
    </w:p>
    <w:p w14:paraId="6E1461F8" w14:textId="77777777" w:rsidR="00BF3AFD" w:rsidRPr="00E57521" w:rsidRDefault="00BF3AFD" w:rsidP="00E57521">
      <w:pPr>
        <w:tabs>
          <w:tab w:val="left" w:pos="1418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8466FD8" w14:textId="77777777" w:rsidR="00BF3AFD" w:rsidRPr="00E57521" w:rsidRDefault="00BF3AFD" w:rsidP="00E57521">
      <w:pPr>
        <w:tabs>
          <w:tab w:val="left" w:pos="1418"/>
        </w:tabs>
        <w:ind w:left="426" w:hanging="283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6A83008C" w14:textId="77777777" w:rsidR="00BF3AFD" w:rsidRDefault="00BF3AFD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37A666A8" w14:textId="77777777" w:rsidR="00BF3AFD" w:rsidRDefault="00BF3AFD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587E0E4D" w14:textId="77777777" w:rsidR="00BF3AFD" w:rsidRDefault="00BF3AFD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86F8588" w14:textId="5E02DCBD" w:rsidR="00BF3AFD" w:rsidRDefault="00BF3AFD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2EDB15CE" w14:textId="07D2FE58" w:rsidR="007D001A" w:rsidRDefault="007D001A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44742B18" w14:textId="45333E79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59F07369" w14:textId="133BBC34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75AFCD83" w14:textId="2BE577CE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1D31EF55" w14:textId="2BEA5574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57DD053A" w14:textId="24A26A96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5DFCB8C" w14:textId="77777777" w:rsidR="00952EBC" w:rsidRDefault="00952EBC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2EB56730" w14:textId="46002916" w:rsidR="007D001A" w:rsidRDefault="007D001A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F351B65" w14:textId="7170B8F8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C74FC01" w14:textId="45E1CADD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2306A8A" w14:textId="539B46F4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6FDD32A" w14:textId="61BACED3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569D602C" w14:textId="2624C0F7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6B0B8CDC" w14:textId="4842C970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4536A07C" w14:textId="37DD15B6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3796A755" w14:textId="31AD7BA3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676CDCA7" w14:textId="550CB19F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630705C3" w14:textId="47F7E795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0E18E9B7" w14:textId="37200641" w:rsidR="00686170" w:rsidRDefault="00686170" w:rsidP="004F3C8C">
      <w:pPr>
        <w:tabs>
          <w:tab w:val="left" w:pos="1418"/>
        </w:tabs>
        <w:contextualSpacing/>
        <w:rPr>
          <w:rFonts w:cstheme="minorHAnsi"/>
          <w:b/>
          <w:sz w:val="22"/>
          <w:szCs w:val="22"/>
        </w:rPr>
      </w:pPr>
    </w:p>
    <w:p w14:paraId="629CB890" w14:textId="77777777" w:rsidR="004F3C8C" w:rsidRDefault="004F3C8C" w:rsidP="004F3C8C">
      <w:pPr>
        <w:tabs>
          <w:tab w:val="left" w:pos="1418"/>
        </w:tabs>
        <w:contextualSpacing/>
        <w:rPr>
          <w:rFonts w:cstheme="minorHAnsi"/>
          <w:b/>
          <w:sz w:val="22"/>
          <w:szCs w:val="22"/>
        </w:rPr>
      </w:pPr>
    </w:p>
    <w:p w14:paraId="74C4660B" w14:textId="4E373667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372EF5A5" w14:textId="77777777" w:rsidR="00686170" w:rsidRDefault="00686170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6DD6B036" w14:textId="0650FFAB" w:rsidR="007D001A" w:rsidRDefault="007D001A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p w14:paraId="6C6CF997" w14:textId="0EE5B151" w:rsidR="007D001A" w:rsidRDefault="007D001A" w:rsidP="000A473D">
      <w:pPr>
        <w:tabs>
          <w:tab w:val="left" w:pos="1418"/>
        </w:tabs>
        <w:ind w:left="426" w:hanging="283"/>
        <w:contextualSpacing/>
        <w:jc w:val="center"/>
        <w:rPr>
          <w:rFonts w:cstheme="minorHAnsi"/>
          <w:b/>
          <w:sz w:val="22"/>
          <w:szCs w:val="22"/>
        </w:rPr>
      </w:pPr>
    </w:p>
    <w:sectPr w:rsidR="007D001A" w:rsidSect="00793DAE">
      <w:headerReference w:type="default" r:id="rId15"/>
      <w:footerReference w:type="default" r:id="rId16"/>
      <w:pgSz w:w="11900" w:h="16840"/>
      <w:pgMar w:top="1021" w:right="1213" w:bottom="1021" w:left="2410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9AF9" w14:textId="77777777" w:rsidR="00F24823" w:rsidRDefault="00F24823" w:rsidP="00EF7C77">
      <w:r>
        <w:separator/>
      </w:r>
    </w:p>
  </w:endnote>
  <w:endnote w:type="continuationSeparator" w:id="0">
    <w:p w14:paraId="1896F03B" w14:textId="77777777" w:rsidR="00F24823" w:rsidRDefault="00F24823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Ind w:w="-1474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340"/>
      <w:gridCol w:w="1130"/>
      <w:gridCol w:w="8368"/>
    </w:tblGrid>
    <w:tr w:rsidR="00F74139" w14:paraId="07AEA18C" w14:textId="77777777" w:rsidTr="009E13E9">
      <w:trPr>
        <w:trHeight w:val="850"/>
      </w:trPr>
      <w:tc>
        <w:tcPr>
          <w:tcW w:w="340" w:type="dxa"/>
          <w:vAlign w:val="center"/>
        </w:tcPr>
        <w:p w14:paraId="4FEF0173" w14:textId="77777777" w:rsidR="00F74139" w:rsidRPr="00D16BDE" w:rsidRDefault="00F74139" w:rsidP="00CD1415">
          <w:pPr>
            <w:tabs>
              <w:tab w:val="left" w:pos="286"/>
            </w:tabs>
            <w:ind w:left="284" w:hanging="284"/>
            <w:rPr>
              <w:b/>
            </w:rPr>
          </w:pPr>
        </w:p>
      </w:tc>
      <w:tc>
        <w:tcPr>
          <w:tcW w:w="1130" w:type="dxa"/>
          <w:tcBorders>
            <w:top w:val="single" w:sz="18" w:space="0" w:color="233D81"/>
          </w:tcBorders>
          <w:vAlign w:val="center"/>
        </w:tcPr>
        <w:p w14:paraId="1F1788B9" w14:textId="77777777" w:rsidR="00F74139" w:rsidRPr="00D16BDE" w:rsidRDefault="00F74139" w:rsidP="00CD1415">
          <w:pPr>
            <w:tabs>
              <w:tab w:val="left" w:pos="284"/>
            </w:tabs>
            <w:ind w:left="284" w:right="-164" w:hanging="284"/>
            <w:rPr>
              <w:b/>
            </w:rPr>
          </w:pPr>
          <w:r w:rsidRPr="00D16BDE">
            <w:rPr>
              <w:rFonts w:ascii="Calibri" w:hAnsi="Calibri" w:cs="Calibri"/>
              <w:b/>
              <w:color w:val="213B78"/>
              <w:sz w:val="20"/>
              <w:szCs w:val="20"/>
            </w:rPr>
            <w:t>pka.edu.pl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</w:p>
      </w:tc>
      <w:tc>
        <w:tcPr>
          <w:tcW w:w="8368" w:type="dxa"/>
          <w:tcBorders>
            <w:top w:val="single" w:sz="18" w:space="0" w:color="233D81"/>
          </w:tcBorders>
          <w:vAlign w:val="center"/>
        </w:tcPr>
        <w:p w14:paraId="64E4E2EB" w14:textId="77777777" w:rsidR="00F74139" w:rsidRPr="00D16BDE" w:rsidRDefault="00F74139" w:rsidP="002F4D9A">
          <w:pPr>
            <w:rPr>
              <w:rFonts w:ascii="Calibri" w:hAnsi="Calibri" w:cs="Calibri"/>
              <w:b/>
              <w:i/>
              <w:color w:val="213B78"/>
              <w:sz w:val="20"/>
              <w:szCs w:val="18"/>
            </w:rPr>
          </w:pPr>
        </w:p>
        <w:p w14:paraId="3BE236AD" w14:textId="77777777" w:rsidR="00F74139" w:rsidRPr="00D16BDE" w:rsidRDefault="00F74139" w:rsidP="009E13E9">
          <w:pPr>
            <w:jc w:val="both"/>
            <w:rPr>
              <w:b/>
              <w:sz w:val="22"/>
              <w:szCs w:val="22"/>
            </w:rPr>
          </w:pP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>
            <w:rPr>
              <w:rFonts w:ascii="Calibri" w:hAnsi="Calibri" w:cs="Calibri"/>
              <w:color w:val="273E7D"/>
              <w:sz w:val="20"/>
              <w:szCs w:val="18"/>
            </w:rPr>
            <w:t>pka</w:t>
          </w:r>
          <w:r w:rsidRPr="00BB539B">
            <w:rPr>
              <w:rFonts w:ascii="Calibri" w:hAnsi="Calibri" w:cs="Calibri"/>
              <w:color w:val="273E7D"/>
              <w:sz w:val="20"/>
              <w:szCs w:val="18"/>
            </w:rPr>
            <w:t>@pka.edu.pl</w:t>
          </w:r>
          <w:r>
            <w:rPr>
              <w:rFonts w:ascii="Calibri" w:hAnsi="Calibri" w:cs="Calibri"/>
              <w:color w:val="213B78"/>
              <w:sz w:val="20"/>
              <w:szCs w:val="18"/>
            </w:rPr>
            <w:t xml:space="preserve"> 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</w:t>
          </w: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>
            <w:rPr>
              <w:rFonts w:ascii="Calibri" w:hAnsi="Calibri" w:cs="Calibri"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>ul. Żurawia 32/34, 00–515 Warszawa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>tel. (+48 22) 622 07 18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</w:t>
          </w:r>
        </w:p>
        <w:p w14:paraId="70585480" w14:textId="77777777" w:rsidR="00F74139" w:rsidRPr="00D16BDE" w:rsidRDefault="00F74139" w:rsidP="002F4D9A">
          <w:pPr>
            <w:rPr>
              <w:b/>
              <w:sz w:val="22"/>
              <w:szCs w:val="22"/>
            </w:rPr>
          </w:pPr>
        </w:p>
      </w:tc>
    </w:tr>
  </w:tbl>
  <w:p w14:paraId="517832D4" w14:textId="77777777" w:rsidR="00F74139" w:rsidRDefault="00F74139" w:rsidP="00CD1415">
    <w:pPr>
      <w:pStyle w:val="Stopka"/>
      <w:ind w:left="-142" w:firstLine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41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84"/>
      <w:gridCol w:w="1134"/>
      <w:gridCol w:w="8364"/>
    </w:tblGrid>
    <w:tr w:rsidR="00F74139" w14:paraId="0E5E594C" w14:textId="77777777" w:rsidTr="00C7707A">
      <w:trPr>
        <w:trHeight w:val="850"/>
      </w:trPr>
      <w:tc>
        <w:tcPr>
          <w:tcW w:w="284" w:type="dxa"/>
          <w:vAlign w:val="center"/>
        </w:tcPr>
        <w:p w14:paraId="39736ACF" w14:textId="77777777" w:rsidR="00F74139" w:rsidRPr="00D16BDE" w:rsidRDefault="00F74139" w:rsidP="00E95C99">
          <w:pPr>
            <w:tabs>
              <w:tab w:val="left" w:pos="163"/>
            </w:tabs>
            <w:ind w:left="284" w:hanging="284"/>
            <w:rPr>
              <w:b/>
            </w:rPr>
          </w:pPr>
          <w:r w:rsidRPr="00D16BDE">
            <w:rPr>
              <w:rFonts w:ascii="Calibri" w:hAnsi="Calibri" w:cs="Calibri"/>
              <w:b/>
              <w:color w:val="213B78"/>
              <w:sz w:val="20"/>
              <w:szCs w:val="20"/>
            </w:rPr>
            <w:t xml:space="preserve"> </w:t>
          </w:r>
        </w:p>
      </w:tc>
      <w:tc>
        <w:tcPr>
          <w:tcW w:w="1134" w:type="dxa"/>
          <w:vAlign w:val="center"/>
        </w:tcPr>
        <w:p w14:paraId="1BD55E45" w14:textId="77777777" w:rsidR="00F74139" w:rsidRPr="00D16BDE" w:rsidRDefault="00F74139" w:rsidP="00E95C99">
          <w:pPr>
            <w:tabs>
              <w:tab w:val="left" w:pos="284"/>
            </w:tabs>
            <w:ind w:left="284" w:hanging="284"/>
            <w:rPr>
              <w:b/>
            </w:rPr>
          </w:pPr>
        </w:p>
      </w:tc>
      <w:tc>
        <w:tcPr>
          <w:tcW w:w="8364" w:type="dxa"/>
          <w:vAlign w:val="center"/>
        </w:tcPr>
        <w:p w14:paraId="638E3316" w14:textId="77777777" w:rsidR="00F74139" w:rsidRPr="00D16BDE" w:rsidRDefault="00F74139" w:rsidP="00D16BDE">
          <w:pPr>
            <w:rPr>
              <w:rFonts w:ascii="Calibri" w:hAnsi="Calibri" w:cs="Calibri"/>
              <w:b/>
              <w:i/>
              <w:color w:val="213B78"/>
              <w:sz w:val="20"/>
              <w:szCs w:val="18"/>
            </w:rPr>
          </w:pPr>
        </w:p>
        <w:p w14:paraId="614AD1C5" w14:textId="06CBCD6A" w:rsidR="00F74139" w:rsidRPr="00D16BDE" w:rsidRDefault="00F74139" w:rsidP="00C7707A">
          <w:pPr>
            <w:ind w:left="146" w:hanging="146"/>
            <w:jc w:val="right"/>
            <w:rPr>
              <w:b/>
              <w:sz w:val="22"/>
              <w:szCs w:val="22"/>
            </w:rPr>
          </w:pP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begin"/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instrText xml:space="preserve"> PAGE  \* MERGEFORMAT </w:instrTex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353C7C"/>
              <w:sz w:val="20"/>
              <w:szCs w:val="18"/>
            </w:rPr>
            <w:t>1</w: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end"/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t xml:space="preserve"> / </w:t>
          </w:r>
          <w:fldSimple w:instr="SECTIONPAGES  \* MERGEFORMAT">
            <w:r w:rsidR="00480410" w:rsidRPr="00480410">
              <w:rPr>
                <w:rFonts w:ascii="Calibri" w:hAnsi="Calibri" w:cs="Calibri"/>
                <w:bCs/>
                <w:noProof/>
                <w:color w:val="353C7C"/>
                <w:sz w:val="20"/>
                <w:szCs w:val="18"/>
              </w:rPr>
              <w:t>10</w:t>
            </w:r>
          </w:fldSimple>
        </w:p>
      </w:tc>
    </w:tr>
  </w:tbl>
  <w:p w14:paraId="54946D35" w14:textId="77777777" w:rsidR="00F74139" w:rsidRDefault="00F74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774A" w14:textId="77777777" w:rsidR="00F24823" w:rsidRDefault="00F24823" w:rsidP="00EF7C77">
      <w:r>
        <w:separator/>
      </w:r>
    </w:p>
  </w:footnote>
  <w:footnote w:type="continuationSeparator" w:id="0">
    <w:p w14:paraId="7AA0D4D0" w14:textId="77777777" w:rsidR="00F24823" w:rsidRDefault="00F24823" w:rsidP="00E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418" w:type="dxa"/>
      <w:tblLook w:val="01E0" w:firstRow="1" w:lastRow="1" w:firstColumn="1" w:lastColumn="1" w:noHBand="0" w:noVBand="0"/>
    </w:tblPr>
    <w:tblGrid>
      <w:gridCol w:w="1418"/>
      <w:gridCol w:w="5142"/>
      <w:gridCol w:w="853"/>
      <w:gridCol w:w="2369"/>
    </w:tblGrid>
    <w:tr w:rsidR="00F74139" w14:paraId="2AA6A27F" w14:textId="77777777" w:rsidTr="7EEFFD45">
      <w:trPr>
        <w:trHeight w:val="1271"/>
      </w:trPr>
      <w:tc>
        <w:tcPr>
          <w:tcW w:w="1418" w:type="dxa"/>
          <w:vMerge w:val="restart"/>
        </w:tcPr>
        <w:p w14:paraId="640FDFC1" w14:textId="77777777" w:rsidR="00F74139" w:rsidRDefault="00F74139" w:rsidP="009B0AFC">
          <w:pPr>
            <w:tabs>
              <w:tab w:val="left" w:pos="186"/>
            </w:tabs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11F3B12" wp14:editId="662A0531">
                <wp:simplePos x="0" y="0"/>
                <wp:positionH relativeFrom="margin">
                  <wp:posOffset>-36195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5" name="Obraz 5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95" w:type="dxa"/>
          <w:gridSpan w:val="2"/>
          <w:tcBorders>
            <w:bottom w:val="single" w:sz="18" w:space="0" w:color="233D81"/>
          </w:tcBorders>
        </w:tcPr>
        <w:p w14:paraId="5007C907" w14:textId="77777777" w:rsidR="00F74139" w:rsidRPr="000D1D56" w:rsidRDefault="00F74139" w:rsidP="00975392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55B7EA2F" w14:textId="03D76E13" w:rsidR="00F74139" w:rsidRPr="00163043" w:rsidRDefault="00F74139" w:rsidP="00C7707A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163043">
            <w:rPr>
              <w:b/>
              <w:color w:val="353C7C"/>
              <w:sz w:val="22"/>
              <w:szCs w:val="22"/>
            </w:rPr>
            <w:t xml:space="preserve">Uchwała </w:t>
          </w:r>
          <w:r>
            <w:rPr>
              <w:b/>
              <w:color w:val="353C7C"/>
              <w:sz w:val="22"/>
              <w:szCs w:val="22"/>
            </w:rPr>
            <w:t>n</w:t>
          </w:r>
          <w:r w:rsidRPr="00163043">
            <w:rPr>
              <w:b/>
              <w:color w:val="353C7C"/>
              <w:sz w:val="22"/>
              <w:szCs w:val="22"/>
            </w:rPr>
            <w:t>r</w:t>
          </w:r>
          <w:r>
            <w:rPr>
              <w:b/>
              <w:color w:val="353C7C"/>
              <w:sz w:val="22"/>
              <w:szCs w:val="22"/>
            </w:rPr>
            <w:t xml:space="preserve">  </w:t>
          </w:r>
          <w:r w:rsidR="00175D47">
            <w:rPr>
              <w:b/>
              <w:color w:val="353C7C"/>
              <w:sz w:val="22"/>
              <w:szCs w:val="22"/>
            </w:rPr>
            <w:t>220</w:t>
          </w:r>
          <w:r>
            <w:rPr>
              <w:b/>
              <w:color w:val="353C7C"/>
              <w:sz w:val="22"/>
              <w:szCs w:val="22"/>
            </w:rPr>
            <w:t>/2021</w:t>
          </w:r>
        </w:p>
        <w:p w14:paraId="0B9FE259" w14:textId="77777777" w:rsidR="00F74139" w:rsidRPr="00163043" w:rsidRDefault="00F74139" w:rsidP="00C7707A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163043">
            <w:rPr>
              <w:b/>
              <w:color w:val="353C7C"/>
              <w:sz w:val="22"/>
              <w:szCs w:val="22"/>
            </w:rPr>
            <w:t xml:space="preserve">Prezydium Polskiej Komisji Akredytacyjnej </w:t>
          </w:r>
        </w:p>
        <w:p w14:paraId="0FBB1892" w14:textId="4B1C2EFF" w:rsidR="00F74139" w:rsidRPr="00150DB4" w:rsidRDefault="00F74139" w:rsidP="00C7707A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163043">
            <w:rPr>
              <w:b/>
              <w:color w:val="353C7C"/>
              <w:sz w:val="22"/>
              <w:szCs w:val="22"/>
            </w:rPr>
            <w:t>z dnia</w:t>
          </w:r>
          <w:r>
            <w:rPr>
              <w:b/>
              <w:color w:val="353C7C"/>
              <w:sz w:val="22"/>
              <w:szCs w:val="22"/>
            </w:rPr>
            <w:t xml:space="preserve"> 25 marca</w:t>
          </w:r>
          <w:r w:rsidRPr="00496F31">
            <w:rPr>
              <w:b/>
              <w:color w:val="FF0000"/>
              <w:sz w:val="22"/>
              <w:szCs w:val="22"/>
            </w:rPr>
            <w:t xml:space="preserve"> </w:t>
          </w:r>
          <w:r>
            <w:rPr>
              <w:b/>
              <w:color w:val="353C7C"/>
              <w:sz w:val="22"/>
              <w:szCs w:val="22"/>
            </w:rPr>
            <w:t>2021 r.</w:t>
          </w:r>
        </w:p>
      </w:tc>
      <w:tc>
        <w:tcPr>
          <w:tcW w:w="2369" w:type="dxa"/>
          <w:tcBorders>
            <w:bottom w:val="single" w:sz="18" w:space="0" w:color="233D81"/>
          </w:tcBorders>
        </w:tcPr>
        <w:p w14:paraId="17AA6146" w14:textId="77777777" w:rsidR="00F74139" w:rsidRPr="000D1D56" w:rsidRDefault="00F74139" w:rsidP="00975392">
          <w:pPr>
            <w:rPr>
              <w:sz w:val="22"/>
              <w:szCs w:val="22"/>
            </w:rPr>
          </w:pPr>
        </w:p>
        <w:p w14:paraId="7E6271CC" w14:textId="77777777" w:rsidR="00F74139" w:rsidRPr="000D1D56" w:rsidRDefault="00F74139" w:rsidP="00975392">
          <w:pPr>
            <w:rPr>
              <w:sz w:val="22"/>
              <w:szCs w:val="22"/>
            </w:rPr>
          </w:pPr>
        </w:p>
        <w:p w14:paraId="21B4A83B" w14:textId="77777777" w:rsidR="00F74139" w:rsidRPr="000D1D56" w:rsidRDefault="00F74139" w:rsidP="00975392">
          <w:pPr>
            <w:jc w:val="right"/>
            <w:rPr>
              <w:sz w:val="22"/>
              <w:szCs w:val="22"/>
            </w:rPr>
          </w:pPr>
        </w:p>
      </w:tc>
    </w:tr>
    <w:tr w:rsidR="00F74139" w14:paraId="03BCFAAD" w14:textId="77777777" w:rsidTr="7EEFFD45">
      <w:trPr>
        <w:trHeight w:val="516"/>
      </w:trPr>
      <w:tc>
        <w:tcPr>
          <w:tcW w:w="1418" w:type="dxa"/>
          <w:vMerge/>
        </w:tcPr>
        <w:p w14:paraId="55B4AB6A" w14:textId="77777777" w:rsidR="00F74139" w:rsidRDefault="00F74139" w:rsidP="00975392">
          <w:pPr>
            <w:rPr>
              <w:noProof/>
            </w:rPr>
          </w:pPr>
        </w:p>
      </w:tc>
      <w:tc>
        <w:tcPr>
          <w:tcW w:w="5142" w:type="dxa"/>
          <w:tcBorders>
            <w:top w:val="single" w:sz="18" w:space="0" w:color="233D81"/>
          </w:tcBorders>
          <w:vAlign w:val="center"/>
        </w:tcPr>
        <w:p w14:paraId="0F20F414" w14:textId="77777777" w:rsidR="00F74139" w:rsidRPr="000D1D56" w:rsidRDefault="00F74139" w:rsidP="00975392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</w:p>
      </w:tc>
      <w:tc>
        <w:tcPr>
          <w:tcW w:w="3222" w:type="dxa"/>
          <w:gridSpan w:val="2"/>
          <w:tcBorders>
            <w:top w:val="single" w:sz="18" w:space="0" w:color="233D81"/>
          </w:tcBorders>
          <w:vAlign w:val="center"/>
        </w:tcPr>
        <w:p w14:paraId="7E404C53" w14:textId="77777777" w:rsidR="00F74139" w:rsidRDefault="00F74139" w:rsidP="00975392">
          <w:pPr>
            <w:tabs>
              <w:tab w:val="left" w:pos="98"/>
            </w:tabs>
            <w:ind w:left="-54"/>
            <w:jc w:val="right"/>
          </w:pPr>
        </w:p>
      </w:tc>
    </w:tr>
  </w:tbl>
  <w:p w14:paraId="03E96F55" w14:textId="77777777" w:rsidR="00F74139" w:rsidRDefault="00F74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418" w:type="dxa"/>
      <w:tblLook w:val="01E0" w:firstRow="1" w:lastRow="1" w:firstColumn="1" w:lastColumn="1" w:noHBand="0" w:noVBand="0"/>
    </w:tblPr>
    <w:tblGrid>
      <w:gridCol w:w="1352"/>
      <w:gridCol w:w="3538"/>
      <w:gridCol w:w="775"/>
      <w:gridCol w:w="4117"/>
    </w:tblGrid>
    <w:tr w:rsidR="00F74139" w14:paraId="326E9E3E" w14:textId="77777777" w:rsidTr="7EEFFD45">
      <w:trPr>
        <w:trHeight w:val="1271"/>
      </w:trPr>
      <w:tc>
        <w:tcPr>
          <w:tcW w:w="1352" w:type="dxa"/>
          <w:vMerge w:val="restart"/>
        </w:tcPr>
        <w:p w14:paraId="71730B6A" w14:textId="77777777" w:rsidR="00F74139" w:rsidRDefault="00F74139" w:rsidP="009E13E9">
          <w:pPr>
            <w:tabs>
              <w:tab w:val="left" w:pos="186"/>
            </w:tabs>
            <w:ind w:left="-98" w:right="-242" w:firstLine="98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751618F7" wp14:editId="6BC8B8B5">
                <wp:simplePos x="0" y="0"/>
                <wp:positionH relativeFrom="margin">
                  <wp:posOffset>-23495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8" name="Obraz 8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  <w:gridSpan w:val="2"/>
          <w:tcBorders>
            <w:bottom w:val="single" w:sz="18" w:space="0" w:color="233D81"/>
          </w:tcBorders>
        </w:tcPr>
        <w:p w14:paraId="6589C71C" w14:textId="77777777" w:rsidR="00F74139" w:rsidRPr="000D1D56" w:rsidRDefault="00F74139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71A862B2" w14:textId="77777777" w:rsidR="00F74139" w:rsidRPr="001D1312" w:rsidRDefault="00F74139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>Uchwała Nr</w:t>
          </w:r>
          <w:r>
            <w:rPr>
              <w:b/>
              <w:color w:val="213B78"/>
              <w:sz w:val="22"/>
              <w:szCs w:val="22"/>
            </w:rPr>
            <w:t xml:space="preserve">  </w:t>
          </w:r>
          <w:r w:rsidRPr="001D1312">
            <w:rPr>
              <w:b/>
              <w:color w:val="213B78"/>
              <w:sz w:val="22"/>
              <w:szCs w:val="22"/>
            </w:rPr>
            <w:t xml:space="preserve"> /201</w:t>
          </w:r>
          <w:r>
            <w:rPr>
              <w:b/>
              <w:color w:val="213B78"/>
              <w:sz w:val="22"/>
              <w:szCs w:val="22"/>
            </w:rPr>
            <w:t>9</w:t>
          </w:r>
        </w:p>
        <w:p w14:paraId="63DF4B96" w14:textId="77777777" w:rsidR="00F74139" w:rsidRPr="001D1312" w:rsidRDefault="00F74139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 xml:space="preserve">Prezydium Polskiej Komisji Akredytacyjnej </w:t>
          </w:r>
        </w:p>
        <w:p w14:paraId="08639C54" w14:textId="77777777" w:rsidR="00F74139" w:rsidRPr="00150DB4" w:rsidRDefault="00F74139" w:rsidP="00C7707A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1D1312">
            <w:rPr>
              <w:b/>
              <w:color w:val="213B78"/>
              <w:sz w:val="22"/>
              <w:szCs w:val="22"/>
            </w:rPr>
            <w:t>z dnia …………………..</w:t>
          </w:r>
        </w:p>
      </w:tc>
      <w:tc>
        <w:tcPr>
          <w:tcW w:w="4117" w:type="dxa"/>
          <w:tcBorders>
            <w:bottom w:val="single" w:sz="18" w:space="0" w:color="233D81"/>
          </w:tcBorders>
        </w:tcPr>
        <w:p w14:paraId="7070E607" w14:textId="77777777" w:rsidR="00F74139" w:rsidRPr="000D1D56" w:rsidRDefault="00F74139" w:rsidP="002F4D9A">
          <w:pPr>
            <w:rPr>
              <w:sz w:val="22"/>
              <w:szCs w:val="22"/>
            </w:rPr>
          </w:pPr>
        </w:p>
        <w:p w14:paraId="36359E7E" w14:textId="77777777" w:rsidR="00F74139" w:rsidRPr="000D1D56" w:rsidRDefault="00F74139" w:rsidP="002F4D9A">
          <w:pPr>
            <w:rPr>
              <w:sz w:val="22"/>
              <w:szCs w:val="22"/>
            </w:rPr>
          </w:pPr>
        </w:p>
        <w:p w14:paraId="420E1CAB" w14:textId="77777777" w:rsidR="00F74139" w:rsidRPr="000D1D56" w:rsidRDefault="00F74139" w:rsidP="002F4D9A">
          <w:pPr>
            <w:jc w:val="right"/>
            <w:rPr>
              <w:sz w:val="22"/>
              <w:szCs w:val="22"/>
            </w:rPr>
          </w:pPr>
        </w:p>
      </w:tc>
    </w:tr>
    <w:tr w:rsidR="00F74139" w14:paraId="70791F86" w14:textId="77777777" w:rsidTr="7EEFFD45">
      <w:trPr>
        <w:trHeight w:val="516"/>
      </w:trPr>
      <w:tc>
        <w:tcPr>
          <w:tcW w:w="1352" w:type="dxa"/>
          <w:vMerge/>
        </w:tcPr>
        <w:p w14:paraId="58B98D5C" w14:textId="77777777" w:rsidR="00F74139" w:rsidRDefault="00F74139" w:rsidP="002F4D9A">
          <w:pPr>
            <w:rPr>
              <w:noProof/>
            </w:rPr>
          </w:pPr>
        </w:p>
      </w:tc>
      <w:tc>
        <w:tcPr>
          <w:tcW w:w="3538" w:type="dxa"/>
          <w:tcBorders>
            <w:top w:val="single" w:sz="18" w:space="0" w:color="233D81"/>
          </w:tcBorders>
          <w:vAlign w:val="center"/>
        </w:tcPr>
        <w:p w14:paraId="6170DE48" w14:textId="77777777" w:rsidR="00F74139" w:rsidRPr="000D1D56" w:rsidRDefault="00F74139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</w:p>
      </w:tc>
      <w:tc>
        <w:tcPr>
          <w:tcW w:w="4892" w:type="dxa"/>
          <w:gridSpan w:val="2"/>
          <w:tcBorders>
            <w:top w:val="single" w:sz="18" w:space="0" w:color="233D81"/>
          </w:tcBorders>
          <w:vAlign w:val="center"/>
        </w:tcPr>
        <w:p w14:paraId="420C6485" w14:textId="77777777" w:rsidR="00F74139" w:rsidRDefault="00F74139" w:rsidP="002F4D9A">
          <w:pPr>
            <w:tabs>
              <w:tab w:val="left" w:pos="98"/>
            </w:tabs>
            <w:ind w:left="-54"/>
            <w:jc w:val="right"/>
          </w:pPr>
        </w:p>
      </w:tc>
    </w:tr>
  </w:tbl>
  <w:p w14:paraId="71BB5661" w14:textId="77777777" w:rsidR="00F74139" w:rsidRDefault="00F74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6E77" w14:textId="77777777" w:rsidR="00F74139" w:rsidRDefault="00F74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68EE"/>
    <w:multiLevelType w:val="multilevel"/>
    <w:tmpl w:val="A05C5A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B05E5"/>
    <w:multiLevelType w:val="hybridMultilevel"/>
    <w:tmpl w:val="49F48180"/>
    <w:lvl w:ilvl="0" w:tplc="B2864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DA3497"/>
    <w:multiLevelType w:val="hybridMultilevel"/>
    <w:tmpl w:val="9E5C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13BC"/>
    <w:multiLevelType w:val="hybridMultilevel"/>
    <w:tmpl w:val="1F402FAE"/>
    <w:lvl w:ilvl="0" w:tplc="86CE206A">
      <w:start w:val="1"/>
      <w:numFmt w:val="decimal"/>
      <w:lvlText w:val="%1."/>
      <w:lvlJc w:val="left"/>
      <w:pPr>
        <w:ind w:left="1779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D635BFB"/>
    <w:multiLevelType w:val="hybridMultilevel"/>
    <w:tmpl w:val="C7348DE4"/>
    <w:lvl w:ilvl="0" w:tplc="8B76D30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921"/>
    <w:multiLevelType w:val="hybridMultilevel"/>
    <w:tmpl w:val="442C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0B7"/>
    <w:multiLevelType w:val="hybridMultilevel"/>
    <w:tmpl w:val="78700190"/>
    <w:lvl w:ilvl="0" w:tplc="7A2EB7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88424FF"/>
    <w:multiLevelType w:val="hybridMultilevel"/>
    <w:tmpl w:val="2894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C46FF"/>
    <w:multiLevelType w:val="hybridMultilevel"/>
    <w:tmpl w:val="E0FCAC36"/>
    <w:lvl w:ilvl="0" w:tplc="86CE206A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1630AB7"/>
    <w:multiLevelType w:val="hybridMultilevel"/>
    <w:tmpl w:val="74D2F780"/>
    <w:lvl w:ilvl="0" w:tplc="06B827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55710"/>
    <w:multiLevelType w:val="hybridMultilevel"/>
    <w:tmpl w:val="52DC4B2A"/>
    <w:lvl w:ilvl="0" w:tplc="0698642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17ADD"/>
    <w:multiLevelType w:val="hybridMultilevel"/>
    <w:tmpl w:val="6118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7C6"/>
    <w:multiLevelType w:val="hybridMultilevel"/>
    <w:tmpl w:val="2894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39F7"/>
    <w:multiLevelType w:val="hybridMultilevel"/>
    <w:tmpl w:val="1B26FDA8"/>
    <w:lvl w:ilvl="0" w:tplc="38F687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79A57C3"/>
    <w:multiLevelType w:val="hybridMultilevel"/>
    <w:tmpl w:val="8CD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2FB3"/>
    <w:multiLevelType w:val="hybridMultilevel"/>
    <w:tmpl w:val="46189540"/>
    <w:lvl w:ilvl="0" w:tplc="84BC85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0A11D00"/>
    <w:multiLevelType w:val="hybridMultilevel"/>
    <w:tmpl w:val="4B348340"/>
    <w:lvl w:ilvl="0" w:tplc="C64E395E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4B927F9"/>
    <w:multiLevelType w:val="hybridMultilevel"/>
    <w:tmpl w:val="442C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5BAF"/>
    <w:multiLevelType w:val="hybridMultilevel"/>
    <w:tmpl w:val="A5BCC7F6"/>
    <w:lvl w:ilvl="0" w:tplc="32AC41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8720E56"/>
    <w:multiLevelType w:val="hybridMultilevel"/>
    <w:tmpl w:val="A228733E"/>
    <w:lvl w:ilvl="0" w:tplc="A050CAFC">
      <w:start w:val="5"/>
      <w:numFmt w:val="decimal"/>
      <w:lvlText w:val="%1."/>
      <w:lvlJc w:val="left"/>
      <w:pPr>
        <w:ind w:left="1779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7CBA4201"/>
    <w:multiLevelType w:val="hybridMultilevel"/>
    <w:tmpl w:val="6C4E7E7A"/>
    <w:lvl w:ilvl="0" w:tplc="9E8CF5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3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B1"/>
    <w:rsid w:val="0001455D"/>
    <w:rsid w:val="00014BEF"/>
    <w:rsid w:val="00023516"/>
    <w:rsid w:val="00024937"/>
    <w:rsid w:val="00030912"/>
    <w:rsid w:val="00034950"/>
    <w:rsid w:val="000374BF"/>
    <w:rsid w:val="0004046C"/>
    <w:rsid w:val="000537A4"/>
    <w:rsid w:val="00070AE6"/>
    <w:rsid w:val="00076784"/>
    <w:rsid w:val="00076839"/>
    <w:rsid w:val="000830F8"/>
    <w:rsid w:val="00086018"/>
    <w:rsid w:val="000A1DB4"/>
    <w:rsid w:val="000A473D"/>
    <w:rsid w:val="000A7727"/>
    <w:rsid w:val="000B081B"/>
    <w:rsid w:val="000B3079"/>
    <w:rsid w:val="000B78B5"/>
    <w:rsid w:val="000C1DD8"/>
    <w:rsid w:val="000C38B2"/>
    <w:rsid w:val="000C6FB2"/>
    <w:rsid w:val="000D06F1"/>
    <w:rsid w:val="000D1D56"/>
    <w:rsid w:val="000D23D2"/>
    <w:rsid w:val="000D2975"/>
    <w:rsid w:val="000D5643"/>
    <w:rsid w:val="000D5A25"/>
    <w:rsid w:val="000F1EED"/>
    <w:rsid w:val="000F74DF"/>
    <w:rsid w:val="0010034B"/>
    <w:rsid w:val="00101AA8"/>
    <w:rsid w:val="001104C3"/>
    <w:rsid w:val="001256F1"/>
    <w:rsid w:val="0012600F"/>
    <w:rsid w:val="00127F4D"/>
    <w:rsid w:val="001437C3"/>
    <w:rsid w:val="00147594"/>
    <w:rsid w:val="00150DB4"/>
    <w:rsid w:val="00154A67"/>
    <w:rsid w:val="001611B6"/>
    <w:rsid w:val="00163043"/>
    <w:rsid w:val="001679AE"/>
    <w:rsid w:val="00175D47"/>
    <w:rsid w:val="00177602"/>
    <w:rsid w:val="00185E30"/>
    <w:rsid w:val="00194E71"/>
    <w:rsid w:val="001B071C"/>
    <w:rsid w:val="001C1572"/>
    <w:rsid w:val="001C4EA9"/>
    <w:rsid w:val="001D3187"/>
    <w:rsid w:val="001D4CB5"/>
    <w:rsid w:val="001D726F"/>
    <w:rsid w:val="00201210"/>
    <w:rsid w:val="0020766E"/>
    <w:rsid w:val="00210DD1"/>
    <w:rsid w:val="00221524"/>
    <w:rsid w:val="00243FA0"/>
    <w:rsid w:val="00246AB1"/>
    <w:rsid w:val="00256815"/>
    <w:rsid w:val="00267185"/>
    <w:rsid w:val="00271720"/>
    <w:rsid w:val="00275161"/>
    <w:rsid w:val="00275B87"/>
    <w:rsid w:val="00292C28"/>
    <w:rsid w:val="002958FE"/>
    <w:rsid w:val="00297D9F"/>
    <w:rsid w:val="002A5D3E"/>
    <w:rsid w:val="002B4414"/>
    <w:rsid w:val="002C2237"/>
    <w:rsid w:val="002C435A"/>
    <w:rsid w:val="002D11F4"/>
    <w:rsid w:val="002E62F9"/>
    <w:rsid w:val="002F4D9A"/>
    <w:rsid w:val="003311D3"/>
    <w:rsid w:val="00340F8B"/>
    <w:rsid w:val="00342E8A"/>
    <w:rsid w:val="0034498D"/>
    <w:rsid w:val="00346945"/>
    <w:rsid w:val="003530F5"/>
    <w:rsid w:val="00357EE1"/>
    <w:rsid w:val="003603D0"/>
    <w:rsid w:val="00376834"/>
    <w:rsid w:val="00377DB0"/>
    <w:rsid w:val="0038165E"/>
    <w:rsid w:val="003850A8"/>
    <w:rsid w:val="00387327"/>
    <w:rsid w:val="00391995"/>
    <w:rsid w:val="003A37EB"/>
    <w:rsid w:val="003B4BE6"/>
    <w:rsid w:val="003B5322"/>
    <w:rsid w:val="003D017A"/>
    <w:rsid w:val="003D2B1F"/>
    <w:rsid w:val="003D5AF0"/>
    <w:rsid w:val="003E0E63"/>
    <w:rsid w:val="003E51EF"/>
    <w:rsid w:val="003E6C51"/>
    <w:rsid w:val="003E7E6D"/>
    <w:rsid w:val="003F2622"/>
    <w:rsid w:val="00400C92"/>
    <w:rsid w:val="00414FBD"/>
    <w:rsid w:val="00415A34"/>
    <w:rsid w:val="00423DC0"/>
    <w:rsid w:val="0042721C"/>
    <w:rsid w:val="004425E8"/>
    <w:rsid w:val="00445909"/>
    <w:rsid w:val="00447333"/>
    <w:rsid w:val="00451409"/>
    <w:rsid w:val="00464F1F"/>
    <w:rsid w:val="004675D8"/>
    <w:rsid w:val="00477E17"/>
    <w:rsid w:val="00480410"/>
    <w:rsid w:val="00481D09"/>
    <w:rsid w:val="004822D6"/>
    <w:rsid w:val="00496F31"/>
    <w:rsid w:val="004A393B"/>
    <w:rsid w:val="004A7F4D"/>
    <w:rsid w:val="004C14BF"/>
    <w:rsid w:val="004C29BF"/>
    <w:rsid w:val="004C3A8A"/>
    <w:rsid w:val="004F1E41"/>
    <w:rsid w:val="004F2D0E"/>
    <w:rsid w:val="004F3C8C"/>
    <w:rsid w:val="0050113E"/>
    <w:rsid w:val="00503AC0"/>
    <w:rsid w:val="00506E05"/>
    <w:rsid w:val="005244F6"/>
    <w:rsid w:val="0053711A"/>
    <w:rsid w:val="00546095"/>
    <w:rsid w:val="005477F9"/>
    <w:rsid w:val="00552EB7"/>
    <w:rsid w:val="005638A9"/>
    <w:rsid w:val="00581957"/>
    <w:rsid w:val="00587CEF"/>
    <w:rsid w:val="00594E0B"/>
    <w:rsid w:val="0059797E"/>
    <w:rsid w:val="005A3871"/>
    <w:rsid w:val="005B28F7"/>
    <w:rsid w:val="005B5848"/>
    <w:rsid w:val="005B5BF4"/>
    <w:rsid w:val="005C048D"/>
    <w:rsid w:val="005C7AA2"/>
    <w:rsid w:val="005D5711"/>
    <w:rsid w:val="005E126E"/>
    <w:rsid w:val="005E30CF"/>
    <w:rsid w:val="005E3A79"/>
    <w:rsid w:val="005F7DEF"/>
    <w:rsid w:val="0060378E"/>
    <w:rsid w:val="00626D6A"/>
    <w:rsid w:val="006271C4"/>
    <w:rsid w:val="00627CA3"/>
    <w:rsid w:val="00630DDF"/>
    <w:rsid w:val="00632B8F"/>
    <w:rsid w:val="0064751F"/>
    <w:rsid w:val="00671F27"/>
    <w:rsid w:val="006727AA"/>
    <w:rsid w:val="00672A35"/>
    <w:rsid w:val="00686170"/>
    <w:rsid w:val="00690A93"/>
    <w:rsid w:val="0069462B"/>
    <w:rsid w:val="00697191"/>
    <w:rsid w:val="006A67EB"/>
    <w:rsid w:val="006B3FA6"/>
    <w:rsid w:val="006C23D3"/>
    <w:rsid w:val="006D6287"/>
    <w:rsid w:val="006E1E78"/>
    <w:rsid w:val="006E3C56"/>
    <w:rsid w:val="006F2AB8"/>
    <w:rsid w:val="00705FFF"/>
    <w:rsid w:val="007146B8"/>
    <w:rsid w:val="007214F6"/>
    <w:rsid w:val="00722A57"/>
    <w:rsid w:val="00727766"/>
    <w:rsid w:val="00731508"/>
    <w:rsid w:val="007361CD"/>
    <w:rsid w:val="00743DBE"/>
    <w:rsid w:val="007469A9"/>
    <w:rsid w:val="00752F12"/>
    <w:rsid w:val="007542D8"/>
    <w:rsid w:val="00770607"/>
    <w:rsid w:val="00790F0D"/>
    <w:rsid w:val="00793268"/>
    <w:rsid w:val="00793DAE"/>
    <w:rsid w:val="00796634"/>
    <w:rsid w:val="007A0922"/>
    <w:rsid w:val="007C0A70"/>
    <w:rsid w:val="007C5B39"/>
    <w:rsid w:val="007D001A"/>
    <w:rsid w:val="007D42E3"/>
    <w:rsid w:val="007D5E1B"/>
    <w:rsid w:val="007D729B"/>
    <w:rsid w:val="007D7CFD"/>
    <w:rsid w:val="007E04F6"/>
    <w:rsid w:val="007E5193"/>
    <w:rsid w:val="007E5C8C"/>
    <w:rsid w:val="007F1CF4"/>
    <w:rsid w:val="007F42E9"/>
    <w:rsid w:val="008053E1"/>
    <w:rsid w:val="00810D9D"/>
    <w:rsid w:val="00821B92"/>
    <w:rsid w:val="008228B2"/>
    <w:rsid w:val="00822CC4"/>
    <w:rsid w:val="00823D4D"/>
    <w:rsid w:val="00843B60"/>
    <w:rsid w:val="0085705A"/>
    <w:rsid w:val="00870344"/>
    <w:rsid w:val="008A6C85"/>
    <w:rsid w:val="008B1539"/>
    <w:rsid w:val="008B1BD6"/>
    <w:rsid w:val="008C7696"/>
    <w:rsid w:val="008D2DE8"/>
    <w:rsid w:val="008D70E9"/>
    <w:rsid w:val="008F0E6C"/>
    <w:rsid w:val="0090335E"/>
    <w:rsid w:val="0091124F"/>
    <w:rsid w:val="00931923"/>
    <w:rsid w:val="00952EBC"/>
    <w:rsid w:val="00956878"/>
    <w:rsid w:val="0097221E"/>
    <w:rsid w:val="009735DD"/>
    <w:rsid w:val="00975392"/>
    <w:rsid w:val="00991181"/>
    <w:rsid w:val="009A0947"/>
    <w:rsid w:val="009A099A"/>
    <w:rsid w:val="009A414C"/>
    <w:rsid w:val="009A65DD"/>
    <w:rsid w:val="009A7ECC"/>
    <w:rsid w:val="009B0AFC"/>
    <w:rsid w:val="009B2186"/>
    <w:rsid w:val="009B4FE2"/>
    <w:rsid w:val="009B5E97"/>
    <w:rsid w:val="009B7768"/>
    <w:rsid w:val="009C754B"/>
    <w:rsid w:val="009E13E9"/>
    <w:rsid w:val="009F3C3D"/>
    <w:rsid w:val="00A1099A"/>
    <w:rsid w:val="00A13DC1"/>
    <w:rsid w:val="00A15CCB"/>
    <w:rsid w:val="00A25224"/>
    <w:rsid w:val="00A2776A"/>
    <w:rsid w:val="00A36555"/>
    <w:rsid w:val="00A47488"/>
    <w:rsid w:val="00A62842"/>
    <w:rsid w:val="00A67EC4"/>
    <w:rsid w:val="00A742DE"/>
    <w:rsid w:val="00A75BB9"/>
    <w:rsid w:val="00A762E5"/>
    <w:rsid w:val="00A84345"/>
    <w:rsid w:val="00AA4477"/>
    <w:rsid w:val="00AB0567"/>
    <w:rsid w:val="00AB3A15"/>
    <w:rsid w:val="00AC3455"/>
    <w:rsid w:val="00AD28ED"/>
    <w:rsid w:val="00AD769B"/>
    <w:rsid w:val="00AE31B5"/>
    <w:rsid w:val="00AF4483"/>
    <w:rsid w:val="00B0060E"/>
    <w:rsid w:val="00B02047"/>
    <w:rsid w:val="00B04C4B"/>
    <w:rsid w:val="00B1115C"/>
    <w:rsid w:val="00B24D25"/>
    <w:rsid w:val="00B30302"/>
    <w:rsid w:val="00B40B58"/>
    <w:rsid w:val="00B4306E"/>
    <w:rsid w:val="00B6433A"/>
    <w:rsid w:val="00B66457"/>
    <w:rsid w:val="00B91AB1"/>
    <w:rsid w:val="00B92049"/>
    <w:rsid w:val="00B94C3C"/>
    <w:rsid w:val="00B977D7"/>
    <w:rsid w:val="00BA7517"/>
    <w:rsid w:val="00BB237F"/>
    <w:rsid w:val="00BB315C"/>
    <w:rsid w:val="00BB459A"/>
    <w:rsid w:val="00BB539B"/>
    <w:rsid w:val="00BB5448"/>
    <w:rsid w:val="00BC0518"/>
    <w:rsid w:val="00BC2996"/>
    <w:rsid w:val="00BD533D"/>
    <w:rsid w:val="00BE7E05"/>
    <w:rsid w:val="00BF3AFD"/>
    <w:rsid w:val="00BF42D4"/>
    <w:rsid w:val="00BF60BB"/>
    <w:rsid w:val="00BF6AF0"/>
    <w:rsid w:val="00C02941"/>
    <w:rsid w:val="00C20831"/>
    <w:rsid w:val="00C3034E"/>
    <w:rsid w:val="00C41EB4"/>
    <w:rsid w:val="00C578AE"/>
    <w:rsid w:val="00C6135D"/>
    <w:rsid w:val="00C7707A"/>
    <w:rsid w:val="00C82B17"/>
    <w:rsid w:val="00C84C4A"/>
    <w:rsid w:val="00C85FBB"/>
    <w:rsid w:val="00C96305"/>
    <w:rsid w:val="00C96820"/>
    <w:rsid w:val="00CB5303"/>
    <w:rsid w:val="00CB5C5B"/>
    <w:rsid w:val="00CB604D"/>
    <w:rsid w:val="00CC2218"/>
    <w:rsid w:val="00CD1415"/>
    <w:rsid w:val="00CD41D0"/>
    <w:rsid w:val="00CF257C"/>
    <w:rsid w:val="00CF648B"/>
    <w:rsid w:val="00CF64C3"/>
    <w:rsid w:val="00CF7BEF"/>
    <w:rsid w:val="00D00D0F"/>
    <w:rsid w:val="00D0257E"/>
    <w:rsid w:val="00D05DE5"/>
    <w:rsid w:val="00D11033"/>
    <w:rsid w:val="00D14897"/>
    <w:rsid w:val="00D16BDE"/>
    <w:rsid w:val="00D227FD"/>
    <w:rsid w:val="00D23A32"/>
    <w:rsid w:val="00D306B2"/>
    <w:rsid w:val="00D31442"/>
    <w:rsid w:val="00D359FC"/>
    <w:rsid w:val="00D35D93"/>
    <w:rsid w:val="00D45154"/>
    <w:rsid w:val="00D61A3C"/>
    <w:rsid w:val="00D70AF3"/>
    <w:rsid w:val="00D854C3"/>
    <w:rsid w:val="00D913AD"/>
    <w:rsid w:val="00DA0804"/>
    <w:rsid w:val="00DA2844"/>
    <w:rsid w:val="00DB5D90"/>
    <w:rsid w:val="00DC5345"/>
    <w:rsid w:val="00DC6A5A"/>
    <w:rsid w:val="00DD4042"/>
    <w:rsid w:val="00DE2EAE"/>
    <w:rsid w:val="00E0070B"/>
    <w:rsid w:val="00E0173A"/>
    <w:rsid w:val="00E03C07"/>
    <w:rsid w:val="00E05271"/>
    <w:rsid w:val="00E057BC"/>
    <w:rsid w:val="00E07FF7"/>
    <w:rsid w:val="00E123BE"/>
    <w:rsid w:val="00E15BB8"/>
    <w:rsid w:val="00E23EC7"/>
    <w:rsid w:val="00E27448"/>
    <w:rsid w:val="00E36241"/>
    <w:rsid w:val="00E4103D"/>
    <w:rsid w:val="00E42B6C"/>
    <w:rsid w:val="00E43ABB"/>
    <w:rsid w:val="00E451A2"/>
    <w:rsid w:val="00E57521"/>
    <w:rsid w:val="00E63A2E"/>
    <w:rsid w:val="00E72369"/>
    <w:rsid w:val="00E762F4"/>
    <w:rsid w:val="00E804EF"/>
    <w:rsid w:val="00E81CF9"/>
    <w:rsid w:val="00E95C99"/>
    <w:rsid w:val="00EA3415"/>
    <w:rsid w:val="00EA4AFD"/>
    <w:rsid w:val="00EA592F"/>
    <w:rsid w:val="00EA610F"/>
    <w:rsid w:val="00EA722C"/>
    <w:rsid w:val="00EC554D"/>
    <w:rsid w:val="00EC7A96"/>
    <w:rsid w:val="00ED0CC9"/>
    <w:rsid w:val="00ED3E0A"/>
    <w:rsid w:val="00EE34AB"/>
    <w:rsid w:val="00EE5A84"/>
    <w:rsid w:val="00EF4C8F"/>
    <w:rsid w:val="00EF7C77"/>
    <w:rsid w:val="00F01FA6"/>
    <w:rsid w:val="00F0285D"/>
    <w:rsid w:val="00F06E1F"/>
    <w:rsid w:val="00F164F9"/>
    <w:rsid w:val="00F24823"/>
    <w:rsid w:val="00F26B97"/>
    <w:rsid w:val="00F27587"/>
    <w:rsid w:val="00F34B94"/>
    <w:rsid w:val="00F404F2"/>
    <w:rsid w:val="00F411ED"/>
    <w:rsid w:val="00F41C5D"/>
    <w:rsid w:val="00F4722C"/>
    <w:rsid w:val="00F6162C"/>
    <w:rsid w:val="00F64BD6"/>
    <w:rsid w:val="00F64CBC"/>
    <w:rsid w:val="00F74139"/>
    <w:rsid w:val="00F749E8"/>
    <w:rsid w:val="00F7770C"/>
    <w:rsid w:val="00F80A37"/>
    <w:rsid w:val="00F96994"/>
    <w:rsid w:val="00FA1A88"/>
    <w:rsid w:val="00FB44FB"/>
    <w:rsid w:val="00FC1B95"/>
    <w:rsid w:val="00FD6B46"/>
    <w:rsid w:val="00FE37A3"/>
    <w:rsid w:val="00FE37AC"/>
    <w:rsid w:val="00FE644B"/>
    <w:rsid w:val="03424E1B"/>
    <w:rsid w:val="7EEFF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C54E"/>
  <w15:docId w15:val="{2BABD594-49D7-4E89-BEBB-CA9AA67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50"/>
  </w:style>
  <w:style w:type="paragraph" w:styleId="Nagwek1">
    <w:name w:val="heading 1"/>
    <w:basedOn w:val="Normalny"/>
    <w:next w:val="Normalny"/>
    <w:link w:val="Nagwek1Znak"/>
    <w:uiPriority w:val="9"/>
    <w:qFormat/>
    <w:rsid w:val="009B0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CD1415"/>
    <w:pPr>
      <w:spacing w:before="40" w:line="276" w:lineRule="auto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A15CCB"/>
  </w:style>
  <w:style w:type="character" w:customStyle="1" w:styleId="Nagwek1Znak">
    <w:name w:val="Nagłówek 1 Znak"/>
    <w:basedOn w:val="Domylnaczcionkaakapitu"/>
    <w:link w:val="Nagwek1"/>
    <w:uiPriority w:val="9"/>
    <w:rsid w:val="009B0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9B0AFC"/>
    <w:pPr>
      <w:widowControl w:val="0"/>
      <w:suppressAutoHyphens/>
      <w:spacing w:after="120"/>
    </w:pPr>
    <w:rPr>
      <w:rFonts w:ascii="Times New Roman" w:eastAsia="Lucida Sans Unicode" w:hAnsi="Times New Roman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0AFC"/>
    <w:rPr>
      <w:rFonts w:ascii="Times New Roman" w:eastAsia="Lucida Sans Unicode" w:hAnsi="Times New Roman" w:cs="Tahoma"/>
      <w:lang w:eastAsia="pl-PL" w:bidi="pl-PL"/>
    </w:rPr>
  </w:style>
  <w:style w:type="paragraph" w:styleId="Akapitzlist">
    <w:name w:val="List Paragraph"/>
    <w:aliases w:val="a_Stand,numerowanie,Colorful List Accent 11,Akapit z listą1,Colorful List Accent 1,Wyliczenia,Akapit z listą2,List Paragraph,Colorful List - Accent 11,Colorful List - Accent 12,Wypunktowanie,Kolorowa lista — akcent 11,Tytuły"/>
    <w:basedOn w:val="Normalny"/>
    <w:link w:val="AkapitzlistZnak"/>
    <w:uiPriority w:val="34"/>
    <w:qFormat/>
    <w:rsid w:val="00C770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7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78E"/>
    <w:rPr>
      <w:vertAlign w:val="superscript"/>
    </w:rPr>
  </w:style>
  <w:style w:type="paragraph" w:customStyle="1" w:styleId="PKA-STRONA1">
    <w:name w:val="PKA- STRONA 1"/>
    <w:basedOn w:val="Normalny"/>
    <w:qFormat/>
    <w:rsid w:val="00C578AE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78AE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578AE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C578AE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F01FA6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wyrnieniaPKA">
    <w:name w:val="wyróżnienia PKA"/>
    <w:basedOn w:val="Normalny"/>
    <w:qFormat/>
    <w:rsid w:val="00B4306E"/>
    <w:pPr>
      <w:tabs>
        <w:tab w:val="left" w:pos="1418"/>
      </w:tabs>
      <w:adjustRightInd w:val="0"/>
      <w:ind w:left="1416"/>
      <w:jc w:val="both"/>
    </w:pPr>
    <w:rPr>
      <w:rFonts w:ascii="Calibri" w:eastAsia="Times New Roman" w:hAnsi="Calibri" w:cs="Arial"/>
      <w:b/>
      <w:bCs/>
      <w:color w:val="213C83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4425E8"/>
    <w:rPr>
      <w:rFonts w:cs="Times New Roman"/>
      <w:sz w:val="16"/>
      <w:szCs w:val="16"/>
    </w:rPr>
  </w:style>
  <w:style w:type="paragraph" w:styleId="Tekstkomentarza">
    <w:name w:val="annotation text"/>
    <w:aliases w:val="Comment Text Char, Znak,Znak Znak"/>
    <w:basedOn w:val="Normalny"/>
    <w:link w:val="TekstkomentarzaZnak"/>
    <w:uiPriority w:val="99"/>
    <w:unhideWhenUsed/>
    <w:qFormat/>
    <w:rsid w:val="004425E8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komentarzaZnak">
    <w:name w:val="Tekst komentarza Znak"/>
    <w:aliases w:val="Comment Text Char Znak, Znak Znak,Znak Znak Znak"/>
    <w:basedOn w:val="Domylnaczcionkaakapitu"/>
    <w:link w:val="Tekstkomentarza"/>
    <w:uiPriority w:val="99"/>
    <w:qFormat/>
    <w:rsid w:val="004425E8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37A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EC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ECC"/>
    <w:rPr>
      <w:rFonts w:ascii="Times New Roman" w:eastAsia="Times New Roman" w:hAnsi="Times New Roman" w:cs="Calibri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85E30"/>
    <w:pPr>
      <w:spacing w:after="100"/>
      <w:ind w:left="480"/>
    </w:pPr>
  </w:style>
  <w:style w:type="character" w:customStyle="1" w:styleId="AkapitzlistZnak">
    <w:name w:val="Akapit z listą Znak"/>
    <w:aliases w:val="a_Stand Znak,numerowanie Znak,Colorful List Accent 11 Znak,Akapit z listą1 Znak,Colorful List Accent 1 Znak,Wyliczenia Znak,Akapit z listą2 Znak,List Paragraph Znak,Colorful List - Accent 11 Znak,Colorful List - Accent 12 Znak"/>
    <w:link w:val="Akapitzlist"/>
    <w:uiPriority w:val="34"/>
    <w:qFormat/>
    <w:locked/>
    <w:rsid w:val="007F42E9"/>
  </w:style>
  <w:style w:type="character" w:customStyle="1" w:styleId="Brak">
    <w:name w:val="Brak"/>
    <w:rsid w:val="007F42E9"/>
  </w:style>
  <w:style w:type="paragraph" w:customStyle="1" w:styleId="PKA-nagowek1">
    <w:name w:val="PKA-nagłowek1"/>
    <w:basedOn w:val="Nagwek2"/>
    <w:qFormat/>
    <w:rsid w:val="00BE7E05"/>
    <w:pPr>
      <w:spacing w:before="240" w:after="240"/>
      <w:jc w:val="both"/>
    </w:pPr>
    <w:rPr>
      <w:rFonts w:ascii="Calibri" w:eastAsia="Times New Roman" w:hAnsi="Calibri" w:cs="Arial"/>
      <w:b/>
      <w:color w:val="auto"/>
      <w:sz w:val="22"/>
      <w:szCs w:val="24"/>
      <w:lang w:eastAsia="pl-PL"/>
    </w:rPr>
  </w:style>
  <w:style w:type="paragraph" w:customStyle="1" w:styleId="PKA-1">
    <w:name w:val="PKA-1"/>
    <w:basedOn w:val="PKA-tekstcigy"/>
    <w:rsid w:val="00BE7E05"/>
    <w:pPr>
      <w:tabs>
        <w:tab w:val="left" w:pos="0"/>
        <w:tab w:val="left" w:pos="708"/>
      </w:tabs>
    </w:pPr>
    <w:rPr>
      <w:rFonts w:asciiTheme="minorHAnsi" w:hAnsiTheme="minorHAnsi" w:cs="Times New Roman"/>
      <w:szCs w:val="22"/>
    </w:rPr>
  </w:style>
  <w:style w:type="character" w:customStyle="1" w:styleId="normaltextrun">
    <w:name w:val="normaltextrun"/>
    <w:basedOn w:val="Domylnaczcionkaakapitu"/>
    <w:rsid w:val="004C3A8A"/>
  </w:style>
  <w:style w:type="paragraph" w:styleId="Spistreci2">
    <w:name w:val="toc 2"/>
    <w:basedOn w:val="Normalny"/>
    <w:next w:val="Normalny"/>
    <w:autoRedefine/>
    <w:uiPriority w:val="39"/>
    <w:unhideWhenUsed/>
    <w:rsid w:val="00C9630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2" ma:contentTypeDescription="Utwórz nowy dokument." ma:contentTypeScope="" ma:versionID="0d2b356fa6873245c28f1e94732464e9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c258904c77579c28e0872d7355f858d3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EBFE6-4528-4991-8EF5-FAC275B20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A6693-1594-4C00-AEF7-21EA11DC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C74A-18AE-4677-9A4F-815624402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883F8-8655-47B4-9D07-9A7E9AFCF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Kamila Mędrzycka</cp:lastModifiedBy>
  <cp:revision>2</cp:revision>
  <cp:lastPrinted>2021-04-07T07:30:00Z</cp:lastPrinted>
  <dcterms:created xsi:type="dcterms:W3CDTF">2021-04-07T07:33:00Z</dcterms:created>
  <dcterms:modified xsi:type="dcterms:W3CDTF">2021-04-07T07:33:00Z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